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E897" w14:textId="6AB14DEB" w:rsidR="0041425D" w:rsidRDefault="00000000">
      <w:pPr>
        <w:pStyle w:val="Ttulo"/>
      </w:pPr>
      <w:r>
        <w:t xml:space="preserve">PERFIL </w:t>
      </w:r>
      <w:r w:rsidR="00E91B77">
        <w:t>PRELIMARA</w:t>
      </w:r>
      <w:r>
        <w:t xml:space="preserve"> DEL TERRITORIO</w:t>
      </w:r>
    </w:p>
    <w:p w14:paraId="4C06B176" w14:textId="5086F790" w:rsidR="0041425D" w:rsidRDefault="00000000">
      <w:pPr>
        <w:pStyle w:val="Ttulo1"/>
      </w:pPr>
      <w:bookmarkStart w:id="0" w:name="Xbc387528c98d947bfa631f23ea419bca6cc904c"/>
      <w:r>
        <w:t xml:space="preserve">Convocatoria </w:t>
      </w:r>
      <w:proofErr w:type="spellStart"/>
      <w:r>
        <w:t>Albarrio</w:t>
      </w:r>
      <w:proofErr w:type="spellEnd"/>
      <w:r w:rsidR="00982341">
        <w:t xml:space="preserve"> 2025</w:t>
      </w:r>
      <w:r>
        <w:t xml:space="preserve"> - Red de Municipios por la Agroecología</w:t>
      </w:r>
    </w:p>
    <w:p w14:paraId="658A917B" w14:textId="4E01521F" w:rsidR="00982341" w:rsidRDefault="00391B16" w:rsidP="00982341">
      <w:r w:rsidRPr="00391B16">
        <w:rPr>
          <w:i/>
          <w:iCs/>
        </w:rPr>
        <w:t xml:space="preserve">Perfil preliminar del territorio elaborado para la candidatura a la Convocatoria </w:t>
      </w:r>
      <w:proofErr w:type="spellStart"/>
      <w:r w:rsidRPr="00391B16">
        <w:rPr>
          <w:i/>
          <w:iCs/>
        </w:rPr>
        <w:t>Albarrio</w:t>
      </w:r>
      <w:proofErr w:type="spellEnd"/>
      <w:r w:rsidRPr="00391B16">
        <w:rPr>
          <w:i/>
          <w:iCs/>
        </w:rPr>
        <w:t xml:space="preserve">. Este documento será completado durante la fase de </w:t>
      </w:r>
      <w:proofErr w:type="spellStart"/>
      <w:r w:rsidRPr="00391B16">
        <w:rPr>
          <w:i/>
          <w:iCs/>
        </w:rPr>
        <w:t>codiseño</w:t>
      </w:r>
      <w:proofErr w:type="spellEnd"/>
      <w:r w:rsidRPr="00391B16">
        <w:rPr>
          <w:i/>
          <w:iCs/>
        </w:rPr>
        <w:t xml:space="preserve"> comunitario. Máximo 10 páginas</w:t>
      </w:r>
      <w:r w:rsidR="00982341">
        <w:rPr>
          <w:i/>
          <w:iCs/>
        </w:rPr>
        <w:t>. Máximo 10 páginas</w:t>
      </w:r>
    </w:p>
    <w:p w14:paraId="2E3A61AA" w14:textId="77777777" w:rsidR="00982341" w:rsidRDefault="00000000">
      <w:r>
        <w:rPr>
          <w:b/>
          <w:bCs/>
        </w:rPr>
        <w:t>Municipio:</w:t>
      </w:r>
      <w:r>
        <w:t xml:space="preserve"> [Nombre del municipio]</w:t>
      </w:r>
    </w:p>
    <w:p w14:paraId="7B125FBA" w14:textId="77777777" w:rsidR="00982341" w:rsidRDefault="00000000">
      <w:r>
        <w:rPr>
          <w:b/>
          <w:bCs/>
        </w:rPr>
        <w:t>Territorio</w:t>
      </w:r>
      <w:r w:rsidR="00982341">
        <w:rPr>
          <w:b/>
          <w:bCs/>
        </w:rPr>
        <w:t>/Escala</w:t>
      </w:r>
      <w:r>
        <w:rPr>
          <w:b/>
          <w:bCs/>
        </w:rPr>
        <w:t xml:space="preserve"> de implantación:</w:t>
      </w:r>
      <w:r>
        <w:t xml:space="preserve"> [Nombre del barrio/distrito/zona</w:t>
      </w:r>
      <w:r w:rsidR="00982341">
        <w:t>. Si municipio completo dejar vacío</w:t>
      </w:r>
    </w:p>
    <w:p w14:paraId="622A85D4" w14:textId="77777777" w:rsidR="00982341" w:rsidRDefault="00000000">
      <w:r>
        <w:rPr>
          <w:b/>
          <w:bCs/>
        </w:rPr>
        <w:t>Fecha:</w:t>
      </w:r>
      <w:r>
        <w:t xml:space="preserve"> [DD/MM/AAAA]</w:t>
      </w:r>
    </w:p>
    <w:p w14:paraId="2E6BB1C8" w14:textId="7234799E" w:rsidR="0041425D" w:rsidRDefault="00000000">
      <w:r>
        <w:rPr>
          <w:b/>
          <w:bCs/>
        </w:rPr>
        <w:t>Responsables del documento:</w:t>
      </w:r>
      <w:r>
        <w:t xml:space="preserve"> [Nombres y cargos]</w:t>
      </w:r>
    </w:p>
    <w:p w14:paraId="54ED6126" w14:textId="77777777" w:rsidR="0041425D" w:rsidRDefault="00000000">
      <w:pPr>
        <w:pStyle w:val="Ttulo1"/>
      </w:pPr>
      <w:bookmarkStart w:id="1" w:name="contextualización-del-territorio"/>
      <w:bookmarkEnd w:id="0"/>
      <w:r>
        <w:t>1. CONTEXTUALIZACIÓN DEL TERRITORIO</w:t>
      </w:r>
    </w:p>
    <w:p w14:paraId="31B4CF63" w14:textId="77777777" w:rsidR="0041425D" w:rsidRDefault="00000000">
      <w:pPr>
        <w:pStyle w:val="Ttulo2"/>
      </w:pPr>
      <w:bookmarkStart w:id="2" w:name="marco-regulatorio-y-políticas-públicas"/>
      <w:r>
        <w:t>1.1 Marco regulatorio y políticas públicas</w:t>
      </w:r>
    </w:p>
    <w:p w14:paraId="0084E7FA" w14:textId="1238695E" w:rsidR="0041425D" w:rsidRDefault="00000000">
      <w:r>
        <w:rPr>
          <w:b/>
          <w:bCs/>
        </w:rPr>
        <w:t>Nivel estatal/regional:</w:t>
      </w:r>
      <w:r>
        <w:t xml:space="preserve"> </w:t>
      </w:r>
      <w:r w:rsidR="00982341" w:rsidRPr="00982341">
        <w:rPr>
          <w:i/>
          <w:iCs/>
        </w:rPr>
        <w:t xml:space="preserve">Citar </w:t>
      </w:r>
      <w:r w:rsidRPr="00982341">
        <w:rPr>
          <w:i/>
          <w:iCs/>
        </w:rPr>
        <w:t>Normativas y planes que inciden en el territorio en materia de alimentación, salud y participación ciudadana - Estrategias regionales de alimentación sostenible o salud comunitaria relevantes</w:t>
      </w:r>
    </w:p>
    <w:p w14:paraId="05C42197" w14:textId="7DA6C420" w:rsidR="0041425D" w:rsidRPr="00982341" w:rsidRDefault="00000000">
      <w:pPr>
        <w:rPr>
          <w:i/>
          <w:iCs/>
        </w:rPr>
      </w:pPr>
      <w:r>
        <w:rPr>
          <w:b/>
          <w:bCs/>
        </w:rPr>
        <w:t>Nivel municipal/local:</w:t>
      </w:r>
      <w:r>
        <w:t xml:space="preserve"> </w:t>
      </w:r>
      <w:r w:rsidR="00982341" w:rsidRPr="00982341">
        <w:rPr>
          <w:i/>
          <w:iCs/>
        </w:rPr>
        <w:t>Citar</w:t>
      </w:r>
      <w:r w:rsidRPr="00982341">
        <w:rPr>
          <w:i/>
          <w:iCs/>
        </w:rPr>
        <w:t xml:space="preserve"> Políticas municipales de alimentación (si existen) - Planes de salud comunitaria - Estrategias de participación ciudadana - Ordenanzas municipales relacionadas con comercio local, mercados, etc.</w:t>
      </w:r>
    </w:p>
    <w:p w14:paraId="50494113" w14:textId="77777777" w:rsidR="0041425D" w:rsidRDefault="00000000">
      <w:pPr>
        <w:pStyle w:val="Ttulo2"/>
      </w:pPr>
      <w:bookmarkStart w:id="3" w:name="ubicación-y-delimitación-territorial"/>
      <w:bookmarkEnd w:id="2"/>
      <w:r>
        <w:t>1.2 Ubicación y delimitación territorial</w:t>
      </w:r>
    </w:p>
    <w:p w14:paraId="2552431D" w14:textId="77777777" w:rsidR="0041425D" w:rsidRDefault="00000000">
      <w:pPr>
        <w:numPr>
          <w:ilvl w:val="0"/>
          <w:numId w:val="2"/>
        </w:numPr>
      </w:pPr>
      <w:r>
        <w:t>Descripción geográfica del territorio</w:t>
      </w:r>
    </w:p>
    <w:p w14:paraId="5FE57584" w14:textId="77777777" w:rsidR="0041425D" w:rsidRDefault="00000000">
      <w:pPr>
        <w:numPr>
          <w:ilvl w:val="0"/>
          <w:numId w:val="2"/>
        </w:numPr>
      </w:pPr>
      <w:r>
        <w:t>Límites y superficie aproximada</w:t>
      </w:r>
    </w:p>
    <w:p w14:paraId="4F35AC39" w14:textId="77777777" w:rsidR="0041425D" w:rsidRDefault="00000000">
      <w:pPr>
        <w:numPr>
          <w:ilvl w:val="0"/>
          <w:numId w:val="2"/>
        </w:numPr>
      </w:pPr>
      <w:r>
        <w:t>Proximidad a centros urbanos principales</w:t>
      </w:r>
    </w:p>
    <w:p w14:paraId="448030C1" w14:textId="77777777" w:rsidR="0041425D" w:rsidRDefault="00000000">
      <w:pPr>
        <w:pStyle w:val="Ttulo1"/>
      </w:pPr>
      <w:bookmarkStart w:id="4" w:name="características-sociodemográficas"/>
      <w:bookmarkEnd w:id="1"/>
      <w:bookmarkEnd w:id="3"/>
      <w:r>
        <w:t>2. CARACTERÍSTICAS SOCIODEMOGRÁFICAS</w:t>
      </w:r>
    </w:p>
    <w:p w14:paraId="04DB2CE4" w14:textId="77777777" w:rsidR="0041425D" w:rsidRDefault="00000000">
      <w:pPr>
        <w:pStyle w:val="Ttulo2"/>
      </w:pPr>
      <w:bookmarkStart w:id="5" w:name="datos-poblacionales"/>
      <w:r>
        <w:t>2.1 Datos poblacionales</w:t>
      </w:r>
    </w:p>
    <w:p w14:paraId="6755D2F5" w14:textId="77777777" w:rsidR="0041425D" w:rsidRDefault="00000000">
      <w:pPr>
        <w:numPr>
          <w:ilvl w:val="0"/>
          <w:numId w:val="3"/>
        </w:numPr>
      </w:pPr>
      <w:r>
        <w:rPr>
          <w:b/>
          <w:bCs/>
        </w:rPr>
        <w:t>Población total:</w:t>
      </w:r>
      <w:r>
        <w:t xml:space="preserve"> [número] habitantes</w:t>
      </w:r>
    </w:p>
    <w:p w14:paraId="628B00AE" w14:textId="77777777" w:rsidR="0041425D" w:rsidRDefault="00000000">
      <w:pPr>
        <w:numPr>
          <w:ilvl w:val="0"/>
          <w:numId w:val="3"/>
        </w:numPr>
      </w:pPr>
      <w:r>
        <w:rPr>
          <w:b/>
          <w:bCs/>
        </w:rPr>
        <w:t>Distribución por edades:</w:t>
      </w:r>
    </w:p>
    <w:p w14:paraId="09A600D6" w14:textId="77777777" w:rsidR="0041425D" w:rsidRDefault="00000000">
      <w:pPr>
        <w:numPr>
          <w:ilvl w:val="1"/>
          <w:numId w:val="4"/>
        </w:numPr>
      </w:pPr>
      <w:r>
        <w:t>0-16 años: [%]</w:t>
      </w:r>
    </w:p>
    <w:p w14:paraId="407ABB41" w14:textId="77777777" w:rsidR="0041425D" w:rsidRDefault="00000000">
      <w:pPr>
        <w:numPr>
          <w:ilvl w:val="1"/>
          <w:numId w:val="4"/>
        </w:numPr>
      </w:pPr>
      <w:r>
        <w:t>17-64 años: [%]</w:t>
      </w:r>
    </w:p>
    <w:p w14:paraId="3F6E7837" w14:textId="77777777" w:rsidR="0041425D" w:rsidRDefault="00000000">
      <w:pPr>
        <w:numPr>
          <w:ilvl w:val="1"/>
          <w:numId w:val="4"/>
        </w:numPr>
      </w:pPr>
      <w:r>
        <w:t>65+ años: [%]</w:t>
      </w:r>
    </w:p>
    <w:p w14:paraId="0C06BA63" w14:textId="77777777" w:rsidR="0041425D" w:rsidRDefault="00000000">
      <w:pPr>
        <w:numPr>
          <w:ilvl w:val="0"/>
          <w:numId w:val="3"/>
        </w:numPr>
      </w:pPr>
      <w:r>
        <w:rPr>
          <w:b/>
          <w:bCs/>
        </w:rPr>
        <w:t>Composición familiar predominante:</w:t>
      </w:r>
      <w:r>
        <w:t xml:space="preserve"> [familias con menores, unipersonales, etc.]</w:t>
      </w:r>
    </w:p>
    <w:p w14:paraId="79292AB9" w14:textId="77777777" w:rsidR="0041425D" w:rsidRDefault="00000000">
      <w:pPr>
        <w:numPr>
          <w:ilvl w:val="0"/>
          <w:numId w:val="3"/>
        </w:numPr>
      </w:pPr>
      <w:r>
        <w:rPr>
          <w:b/>
          <w:bCs/>
        </w:rPr>
        <w:t>Diversidad cultural:</w:t>
      </w:r>
      <w:r>
        <w:t xml:space="preserve"> [% población extranjera, principales orígenes]</w:t>
      </w:r>
    </w:p>
    <w:p w14:paraId="3B58F557" w14:textId="77777777" w:rsidR="0041425D" w:rsidRDefault="00000000">
      <w:pPr>
        <w:pStyle w:val="Ttulo2"/>
      </w:pPr>
      <w:bookmarkStart w:id="6" w:name="indicadores-socioeconómicos"/>
      <w:bookmarkEnd w:id="5"/>
      <w:r>
        <w:t>2.2 Indicadores socioeconómicos</w:t>
      </w:r>
    </w:p>
    <w:p w14:paraId="5EC8E771" w14:textId="77777777" w:rsidR="0041425D" w:rsidRDefault="00000000">
      <w:pPr>
        <w:numPr>
          <w:ilvl w:val="0"/>
          <w:numId w:val="5"/>
        </w:numPr>
      </w:pPr>
      <w:r>
        <w:rPr>
          <w:b/>
          <w:bCs/>
        </w:rPr>
        <w:t>Nivel de renta:</w:t>
      </w:r>
      <w:r>
        <w:t xml:space="preserve"> [renta media familiar, comparación con media municipal]</w:t>
      </w:r>
    </w:p>
    <w:p w14:paraId="5C63B5E9" w14:textId="77777777" w:rsidR="0041425D" w:rsidRDefault="00000000">
      <w:pPr>
        <w:numPr>
          <w:ilvl w:val="0"/>
          <w:numId w:val="5"/>
        </w:numPr>
      </w:pPr>
      <w:r>
        <w:rPr>
          <w:b/>
          <w:bCs/>
        </w:rPr>
        <w:lastRenderedPageBreak/>
        <w:t>Situación laboral:</w:t>
      </w:r>
      <w:r>
        <w:t xml:space="preserve"> [tasa de paro, principales sectores de empleo]</w:t>
      </w:r>
    </w:p>
    <w:p w14:paraId="7846A001" w14:textId="77777777" w:rsidR="0041425D" w:rsidRDefault="00000000">
      <w:pPr>
        <w:numPr>
          <w:ilvl w:val="0"/>
          <w:numId w:val="5"/>
        </w:numPr>
      </w:pPr>
      <w:r>
        <w:rPr>
          <w:b/>
          <w:bCs/>
        </w:rPr>
        <w:t>Nivel educativo:</w:t>
      </w:r>
      <w:r>
        <w:t xml:space="preserve"> [% estudios primarios, secundarios, superiores]</w:t>
      </w:r>
    </w:p>
    <w:p w14:paraId="487549F0" w14:textId="77777777" w:rsidR="0041425D" w:rsidRDefault="00000000">
      <w:pPr>
        <w:numPr>
          <w:ilvl w:val="0"/>
          <w:numId w:val="5"/>
        </w:numPr>
      </w:pPr>
      <w:r>
        <w:rPr>
          <w:b/>
          <w:bCs/>
        </w:rPr>
        <w:t>Indicadores de vulnerabilidad:</w:t>
      </w:r>
      <w:r>
        <w:t xml:space="preserve"> [hogares en riesgo de pobreza, prestaciones sociales]</w:t>
      </w:r>
    </w:p>
    <w:p w14:paraId="56A25487" w14:textId="77777777" w:rsidR="0041425D" w:rsidRDefault="00000000">
      <w:pPr>
        <w:pStyle w:val="Ttulo2"/>
      </w:pPr>
      <w:bookmarkStart w:id="7" w:name="indicadores-de-salud-y-alimentación"/>
      <w:bookmarkEnd w:id="6"/>
      <w:r>
        <w:t>2.3 Indicadores de salud y alimentación</w:t>
      </w:r>
    </w:p>
    <w:p w14:paraId="2C919ECE" w14:textId="77777777" w:rsidR="0041425D" w:rsidRDefault="00000000">
      <w:pPr>
        <w:numPr>
          <w:ilvl w:val="0"/>
          <w:numId w:val="6"/>
        </w:numPr>
      </w:pPr>
      <w:r>
        <w:t>Prevalencia de enfermedades relacionadas con la alimentación (si disponible)</w:t>
      </w:r>
    </w:p>
    <w:p w14:paraId="6985FD8E" w14:textId="77777777" w:rsidR="0041425D" w:rsidRDefault="00000000">
      <w:pPr>
        <w:numPr>
          <w:ilvl w:val="0"/>
          <w:numId w:val="6"/>
        </w:numPr>
      </w:pPr>
      <w:r>
        <w:t>Acceso a servicios de salud</w:t>
      </w:r>
    </w:p>
    <w:p w14:paraId="545D1DAE" w14:textId="77777777" w:rsidR="0041425D" w:rsidRDefault="00000000">
      <w:pPr>
        <w:numPr>
          <w:ilvl w:val="0"/>
          <w:numId w:val="6"/>
        </w:numPr>
      </w:pPr>
      <w:r>
        <w:t>Hábitos alimentarios conocidos o estudios previos</w:t>
      </w:r>
    </w:p>
    <w:p w14:paraId="13488809" w14:textId="77777777" w:rsidR="0041425D" w:rsidRDefault="00000000">
      <w:pPr>
        <w:numPr>
          <w:ilvl w:val="0"/>
          <w:numId w:val="6"/>
        </w:numPr>
      </w:pPr>
      <w:r>
        <w:t>Problemas nutricionales identificados</w:t>
      </w:r>
    </w:p>
    <w:p w14:paraId="2F971BD7" w14:textId="77777777" w:rsidR="0041425D" w:rsidRDefault="00000000">
      <w:pPr>
        <w:pStyle w:val="Ttulo1"/>
      </w:pPr>
      <w:bookmarkStart w:id="8" w:name="entorno-alimentario"/>
      <w:bookmarkEnd w:id="4"/>
      <w:bookmarkEnd w:id="7"/>
      <w:r>
        <w:t>3. ENTORNO ALIMENTARIO</w:t>
      </w:r>
    </w:p>
    <w:p w14:paraId="5313E284" w14:textId="14FAA04C" w:rsidR="0041425D" w:rsidRDefault="00000000">
      <w:pPr>
        <w:pStyle w:val="Ttulo2"/>
      </w:pPr>
      <w:bookmarkStart w:id="9" w:name="oferta-comercial-de-alimentos"/>
      <w:r>
        <w:t>3.1 Oferta de alimentos</w:t>
      </w:r>
    </w:p>
    <w:p w14:paraId="3CE5D2DF" w14:textId="1BFEEDAC" w:rsidR="0041425D" w:rsidRDefault="00000000" w:rsidP="00982341">
      <w:pPr>
        <w:pStyle w:val="Prrafodelista"/>
        <w:numPr>
          <w:ilvl w:val="0"/>
          <w:numId w:val="21"/>
        </w:numPr>
      </w:pPr>
      <w:r w:rsidRPr="00982341">
        <w:rPr>
          <w:b/>
          <w:bCs/>
        </w:rPr>
        <w:t>Mercados municipales:</w:t>
      </w:r>
      <w:r>
        <w:t xml:space="preserve"> [Nombre]: ubicación, horarios, tipo de comercios, afluencia - Productos locales/ecológicos disponibles</w:t>
      </w:r>
    </w:p>
    <w:p w14:paraId="57D78496" w14:textId="77777777" w:rsidR="0041425D" w:rsidRDefault="00000000" w:rsidP="00982341">
      <w:pPr>
        <w:pStyle w:val="Prrafodelista"/>
        <w:numPr>
          <w:ilvl w:val="0"/>
          <w:numId w:val="21"/>
        </w:numPr>
      </w:pPr>
      <w:r w:rsidRPr="00982341">
        <w:rPr>
          <w:b/>
          <w:bCs/>
        </w:rPr>
        <w:t>Comercio de proximidad:</w:t>
      </w:r>
      <w:r>
        <w:t xml:space="preserve"> - Número aproximado de establecimientos de alimentación - Tipología: fruterías, carnicerías, pescaderías, tiendas de barrio - Presencia de productos frescos, locales, ecológicos</w:t>
      </w:r>
    </w:p>
    <w:p w14:paraId="02064497" w14:textId="77777777" w:rsidR="0041425D" w:rsidRDefault="00000000" w:rsidP="00982341">
      <w:pPr>
        <w:pStyle w:val="Prrafodelista"/>
        <w:numPr>
          <w:ilvl w:val="0"/>
          <w:numId w:val="21"/>
        </w:numPr>
      </w:pPr>
      <w:r w:rsidRPr="00982341">
        <w:rPr>
          <w:b/>
          <w:bCs/>
        </w:rPr>
        <w:t>Grandes superficies:</w:t>
      </w:r>
      <w:r>
        <w:t xml:space="preserve"> - Supermercados/hipermercados presentes - Accesibilidad para la población del territorio</w:t>
      </w:r>
    </w:p>
    <w:p w14:paraId="4581FD04" w14:textId="77777777" w:rsidR="0041425D" w:rsidRDefault="00000000" w:rsidP="00982341">
      <w:pPr>
        <w:pStyle w:val="Prrafodelista"/>
        <w:numPr>
          <w:ilvl w:val="0"/>
          <w:numId w:val="21"/>
        </w:numPr>
      </w:pPr>
      <w:r w:rsidRPr="00982341">
        <w:rPr>
          <w:b/>
          <w:bCs/>
        </w:rPr>
        <w:t>Otros canales:</w:t>
      </w:r>
      <w:r>
        <w:t xml:space="preserve"> - Grupos de consumo, cooperativas de consumo - Venta directa de productores - Huertos urbanos/comunitarios</w:t>
      </w:r>
    </w:p>
    <w:p w14:paraId="26D46A15" w14:textId="77777777" w:rsidR="0041425D" w:rsidRDefault="00000000">
      <w:pPr>
        <w:pStyle w:val="Ttulo2"/>
      </w:pPr>
      <w:bookmarkStart w:id="10" w:name="restauración-y-comedores-colectivos"/>
      <w:bookmarkEnd w:id="9"/>
      <w:r>
        <w:t>3.2 Restauración y comedores colectivos</w:t>
      </w:r>
    </w:p>
    <w:p w14:paraId="3DF67A20" w14:textId="77777777" w:rsidR="0041425D" w:rsidRDefault="00000000">
      <w:pPr>
        <w:numPr>
          <w:ilvl w:val="0"/>
          <w:numId w:val="7"/>
        </w:numPr>
      </w:pPr>
      <w:r>
        <w:t>Restaurantes/bares con opciones saludables/sostenibles</w:t>
      </w:r>
    </w:p>
    <w:p w14:paraId="33B7F6F1" w14:textId="77777777" w:rsidR="0041425D" w:rsidRDefault="00000000">
      <w:pPr>
        <w:numPr>
          <w:ilvl w:val="0"/>
          <w:numId w:val="7"/>
        </w:numPr>
      </w:pPr>
      <w:r>
        <w:t>Comedores escolares: número, modelo de gestión</w:t>
      </w:r>
    </w:p>
    <w:p w14:paraId="338942CF" w14:textId="77777777" w:rsidR="0041425D" w:rsidRDefault="00000000">
      <w:pPr>
        <w:numPr>
          <w:ilvl w:val="0"/>
          <w:numId w:val="7"/>
        </w:numPr>
      </w:pPr>
      <w:r>
        <w:t>Comedores sociales u otros servicios de alimentación</w:t>
      </w:r>
    </w:p>
    <w:p w14:paraId="33D4CF13" w14:textId="77777777" w:rsidR="0041425D" w:rsidRDefault="00000000">
      <w:pPr>
        <w:pStyle w:val="Ttulo2"/>
      </w:pPr>
      <w:bookmarkStart w:id="11" w:name="accesibilidad-alimentaria"/>
      <w:bookmarkEnd w:id="10"/>
      <w:r>
        <w:t>3.3 Accesibilidad alimentaria</w:t>
      </w:r>
    </w:p>
    <w:p w14:paraId="0618D782" w14:textId="77777777" w:rsidR="0041425D" w:rsidRDefault="00000000">
      <w:pPr>
        <w:numPr>
          <w:ilvl w:val="0"/>
          <w:numId w:val="8"/>
        </w:numPr>
      </w:pPr>
      <w:r>
        <w:t>Distancias a puntos de compra de alimentos frescos</w:t>
      </w:r>
    </w:p>
    <w:p w14:paraId="02105445" w14:textId="77777777" w:rsidR="0041425D" w:rsidRDefault="00000000">
      <w:pPr>
        <w:numPr>
          <w:ilvl w:val="0"/>
          <w:numId w:val="8"/>
        </w:numPr>
      </w:pPr>
      <w:r>
        <w:t>Barreras económicas identificadas</w:t>
      </w:r>
    </w:p>
    <w:p w14:paraId="477D9DD4" w14:textId="77777777" w:rsidR="0041425D" w:rsidRDefault="00000000">
      <w:pPr>
        <w:numPr>
          <w:ilvl w:val="0"/>
          <w:numId w:val="8"/>
        </w:numPr>
      </w:pPr>
      <w:r>
        <w:t>Barreras físicas (movilidad, transporte)</w:t>
      </w:r>
    </w:p>
    <w:p w14:paraId="391CA1CA" w14:textId="77777777" w:rsidR="0041425D" w:rsidRDefault="00000000">
      <w:pPr>
        <w:numPr>
          <w:ilvl w:val="0"/>
          <w:numId w:val="8"/>
        </w:numPr>
      </w:pPr>
      <w:r>
        <w:t>Iniciativas de ayuda alimentaria existentes</w:t>
      </w:r>
    </w:p>
    <w:p w14:paraId="77D0FDF9" w14:textId="77777777" w:rsidR="0041425D" w:rsidRDefault="00000000">
      <w:pPr>
        <w:pStyle w:val="Ttulo1"/>
      </w:pPr>
      <w:bookmarkStart w:id="12" w:name="equipamientos-y-servicios-de-referencia"/>
      <w:bookmarkEnd w:id="8"/>
      <w:bookmarkEnd w:id="11"/>
      <w:r>
        <w:t>4. EQUIPAMIENTOS Y SERVICIOS DE REFERENCIA</w:t>
      </w:r>
    </w:p>
    <w:p w14:paraId="27AC36E4" w14:textId="77777777" w:rsidR="0041425D" w:rsidRDefault="00000000">
      <w:pPr>
        <w:pStyle w:val="Ttulo2"/>
      </w:pPr>
      <w:bookmarkStart w:id="13" w:name="servicios-de-salud"/>
      <w:r>
        <w:t>4.1 Servicios de salud</w:t>
      </w:r>
    </w:p>
    <w:p w14:paraId="14C27F01" w14:textId="77777777" w:rsidR="0041425D" w:rsidRDefault="00000000" w:rsidP="00982341">
      <w:pPr>
        <w:pStyle w:val="Prrafodelista"/>
        <w:numPr>
          <w:ilvl w:val="0"/>
          <w:numId w:val="20"/>
        </w:numPr>
      </w:pPr>
      <w:r w:rsidRPr="00982341">
        <w:rPr>
          <w:b/>
          <w:bCs/>
        </w:rPr>
        <w:t>Centro de Atención Primaria:</w:t>
      </w:r>
      <w:r>
        <w:t xml:space="preserve"> - Nombre y ubicación - Profesionales disponibles (medicina, enfermería, nutrición) - Programas de salud comunitaria activos - Población adscrita</w:t>
      </w:r>
    </w:p>
    <w:p w14:paraId="048F095B" w14:textId="77777777" w:rsidR="0041425D" w:rsidRDefault="00000000" w:rsidP="00982341">
      <w:pPr>
        <w:pStyle w:val="Prrafodelista"/>
        <w:numPr>
          <w:ilvl w:val="0"/>
          <w:numId w:val="20"/>
        </w:numPr>
      </w:pPr>
      <w:r w:rsidRPr="00982341">
        <w:rPr>
          <w:b/>
          <w:bCs/>
        </w:rPr>
        <w:t>Otros servicios sanitarios:</w:t>
      </w:r>
      <w:r>
        <w:t xml:space="preserve"> - Farmacias, centros especializados - Servicios de salud mental, servicios sociales</w:t>
      </w:r>
    </w:p>
    <w:p w14:paraId="7E66A02D" w14:textId="77777777" w:rsidR="0041425D" w:rsidRDefault="00000000">
      <w:pPr>
        <w:pStyle w:val="Ttulo2"/>
      </w:pPr>
      <w:bookmarkStart w:id="14" w:name="equipamientos-educativos-y-culturales"/>
      <w:bookmarkEnd w:id="13"/>
      <w:r>
        <w:lastRenderedPageBreak/>
        <w:t>4.2 Equipamientos educativos y culturales</w:t>
      </w:r>
    </w:p>
    <w:p w14:paraId="421BE06C" w14:textId="77777777" w:rsidR="0041425D" w:rsidRDefault="00000000" w:rsidP="00982341">
      <w:pPr>
        <w:pStyle w:val="Prrafodelista"/>
        <w:numPr>
          <w:ilvl w:val="0"/>
          <w:numId w:val="22"/>
        </w:numPr>
      </w:pPr>
      <w:r w:rsidRPr="00982341">
        <w:rPr>
          <w:b/>
          <w:bCs/>
        </w:rPr>
        <w:t>Centros educativos:</w:t>
      </w:r>
      <w:r>
        <w:t xml:space="preserve"> - Escuelas infantiles, colegios, institutos - Programas educativos relacionados con alimentación</w:t>
      </w:r>
    </w:p>
    <w:p w14:paraId="427D75A9" w14:textId="77777777" w:rsidR="0041425D" w:rsidRDefault="00000000" w:rsidP="00982341">
      <w:pPr>
        <w:pStyle w:val="Prrafodelista"/>
        <w:numPr>
          <w:ilvl w:val="0"/>
          <w:numId w:val="22"/>
        </w:numPr>
      </w:pPr>
      <w:r w:rsidRPr="00982341">
        <w:rPr>
          <w:b/>
          <w:bCs/>
        </w:rPr>
        <w:t>Equipamientos culturales y comunitarios:</w:t>
      </w:r>
      <w:r>
        <w:t xml:space="preserve"> - Centros cívicos: ubicación, actividades, usuarios - Bibliotecas públicas - Centros deportivos - Otros espacios de encuentro comunitario</w:t>
      </w:r>
    </w:p>
    <w:p w14:paraId="6217B9D8" w14:textId="77777777" w:rsidR="0041425D" w:rsidRDefault="00000000">
      <w:pPr>
        <w:pStyle w:val="Ttulo2"/>
      </w:pPr>
      <w:bookmarkStart w:id="15" w:name="servicios-municipales"/>
      <w:bookmarkEnd w:id="14"/>
      <w:r>
        <w:t>4.3 Servicios municipales</w:t>
      </w:r>
    </w:p>
    <w:p w14:paraId="4341916C" w14:textId="77777777" w:rsidR="0041425D" w:rsidRDefault="00000000">
      <w:pPr>
        <w:numPr>
          <w:ilvl w:val="0"/>
          <w:numId w:val="9"/>
        </w:numPr>
      </w:pPr>
      <w:r>
        <w:t>Oficinas de atención ciudadana</w:t>
      </w:r>
    </w:p>
    <w:p w14:paraId="4574C309" w14:textId="77777777" w:rsidR="0041425D" w:rsidRDefault="00000000">
      <w:pPr>
        <w:numPr>
          <w:ilvl w:val="0"/>
          <w:numId w:val="9"/>
        </w:numPr>
      </w:pPr>
      <w:r>
        <w:t>Servicios sociales municipales</w:t>
      </w:r>
    </w:p>
    <w:p w14:paraId="2B6B1234" w14:textId="77777777" w:rsidR="0041425D" w:rsidRDefault="00000000">
      <w:pPr>
        <w:numPr>
          <w:ilvl w:val="0"/>
          <w:numId w:val="9"/>
        </w:numPr>
      </w:pPr>
      <w:r>
        <w:t>Programas de mediación intercultural</w:t>
      </w:r>
    </w:p>
    <w:p w14:paraId="45A617E0" w14:textId="77777777" w:rsidR="0041425D" w:rsidRDefault="00000000">
      <w:pPr>
        <w:numPr>
          <w:ilvl w:val="0"/>
          <w:numId w:val="9"/>
        </w:numPr>
      </w:pPr>
      <w:r>
        <w:t>Otros servicios específicos del territorio</w:t>
      </w:r>
    </w:p>
    <w:p w14:paraId="5870240B" w14:textId="77777777" w:rsidR="0041425D" w:rsidRDefault="00000000">
      <w:pPr>
        <w:pStyle w:val="Ttulo1"/>
      </w:pPr>
      <w:bookmarkStart w:id="16" w:name="X4d387d992bed5bce89049aebd99bd2fb115efc8"/>
      <w:bookmarkEnd w:id="12"/>
      <w:bookmarkEnd w:id="15"/>
      <w:r>
        <w:t>5. TEJIDO SOCIAL Y PARTICIPACIÓN COMUNITARIA</w:t>
      </w:r>
    </w:p>
    <w:p w14:paraId="6123AF68" w14:textId="77777777" w:rsidR="0041425D" w:rsidRDefault="00000000">
      <w:pPr>
        <w:pStyle w:val="Ttulo2"/>
      </w:pPr>
      <w:bookmarkStart w:id="17" w:name="entidades-sociales-activas"/>
      <w:r>
        <w:t>5.1 Entidades sociales activas</w:t>
      </w:r>
    </w:p>
    <w:p w14:paraId="310D1AD3" w14:textId="77777777" w:rsidR="0041425D" w:rsidRDefault="00000000">
      <w:r>
        <w:rPr>
          <w:b/>
          <w:bCs/>
        </w:rPr>
        <w:t>Asociaciones vecinales:</w:t>
      </w:r>
      <w:r>
        <w:t xml:space="preserve"> - [Nombre]: actividades, número de socios, áreas de trabajo</w:t>
      </w:r>
    </w:p>
    <w:p w14:paraId="5ECAD5A9" w14:textId="77777777" w:rsidR="0041425D" w:rsidRDefault="00000000">
      <w:r>
        <w:rPr>
          <w:b/>
          <w:bCs/>
        </w:rPr>
        <w:t>ONG y entidades sociales:</w:t>
      </w:r>
      <w:r>
        <w:t xml:space="preserve"> - [Nombre]: población objetivo, servicios, experiencia en alimentación</w:t>
      </w:r>
    </w:p>
    <w:p w14:paraId="26739966" w14:textId="77777777" w:rsidR="0041425D" w:rsidRDefault="00000000">
      <w:r>
        <w:rPr>
          <w:b/>
          <w:bCs/>
        </w:rPr>
        <w:t>Entidades culturales/deportivas:</w:t>
      </w:r>
      <w:r>
        <w:t xml:space="preserve"> - [Nombre]: actividades relacionadas con comunidad</w:t>
      </w:r>
    </w:p>
    <w:p w14:paraId="3BD0B233" w14:textId="77777777" w:rsidR="0041425D" w:rsidRDefault="00000000">
      <w:pPr>
        <w:pStyle w:val="Ttulo2"/>
      </w:pPr>
      <w:bookmarkStart w:id="18" w:name="X7fbc9b7cde95be940c8d34fc1f107568709ca69"/>
      <w:bookmarkEnd w:id="17"/>
      <w:r>
        <w:t>5.2 Espacios de gestión comunitaria existentes</w:t>
      </w:r>
    </w:p>
    <w:p w14:paraId="505127B1" w14:textId="77777777" w:rsidR="0041425D" w:rsidRDefault="00000000">
      <w:r>
        <w:rPr>
          <w:b/>
          <w:bCs/>
        </w:rPr>
        <w:t>Mesas de salud/alimentación:</w:t>
      </w:r>
      <w:r>
        <w:t xml:space="preserve"> - Descripción, participantes, periodicidad - Logros y actividades realizadas</w:t>
      </w:r>
    </w:p>
    <w:p w14:paraId="546C90FC" w14:textId="77777777" w:rsidR="0041425D" w:rsidRDefault="00000000">
      <w:r>
        <w:rPr>
          <w:b/>
          <w:bCs/>
        </w:rPr>
        <w:t>Otros espacios participativos:</w:t>
      </w:r>
      <w:r>
        <w:t xml:space="preserve"> - Consejos de barrio, asambleas vecinales - Grupos de trabajo temáticos - Redes informales de colaboración</w:t>
      </w:r>
    </w:p>
    <w:p w14:paraId="6402EBA9" w14:textId="77777777" w:rsidR="0041425D" w:rsidRDefault="00000000">
      <w:pPr>
        <w:pStyle w:val="Ttulo2"/>
      </w:pPr>
      <w:bookmarkStart w:id="19" w:name="liderazgos-comunitarios"/>
      <w:bookmarkEnd w:id="18"/>
      <w:r>
        <w:t>5.3 Liderazgos comunitarios</w:t>
      </w:r>
    </w:p>
    <w:p w14:paraId="5F17A39C" w14:textId="77777777" w:rsidR="0041425D" w:rsidRDefault="00000000">
      <w:pPr>
        <w:numPr>
          <w:ilvl w:val="0"/>
          <w:numId w:val="10"/>
        </w:numPr>
      </w:pPr>
      <w:r>
        <w:t>Personas referentes en el territorio</w:t>
      </w:r>
    </w:p>
    <w:p w14:paraId="28EC831F" w14:textId="77777777" w:rsidR="0041425D" w:rsidRDefault="00000000">
      <w:pPr>
        <w:numPr>
          <w:ilvl w:val="0"/>
          <w:numId w:val="10"/>
        </w:numPr>
      </w:pPr>
      <w:r>
        <w:t>Experiencia en movilización comunitaria</w:t>
      </w:r>
    </w:p>
    <w:p w14:paraId="146F01E0" w14:textId="77777777" w:rsidR="0041425D" w:rsidRDefault="00000000">
      <w:pPr>
        <w:numPr>
          <w:ilvl w:val="0"/>
          <w:numId w:val="10"/>
        </w:numPr>
      </w:pPr>
      <w:r>
        <w:t>Capacidad de convocatoria e influencia local</w:t>
      </w:r>
    </w:p>
    <w:p w14:paraId="15806AD0" w14:textId="77777777" w:rsidR="0041425D" w:rsidRDefault="00000000">
      <w:pPr>
        <w:pStyle w:val="Ttulo1"/>
      </w:pPr>
      <w:bookmarkStart w:id="20" w:name="Xcf29cc7a39630caa40b942f4ec64b19d41c0498"/>
      <w:bookmarkEnd w:id="16"/>
      <w:bookmarkEnd w:id="19"/>
      <w:r>
        <w:t>6. INICIATIVAS PREVIAS EN ALIMENTACIÓN Y SALUD</w:t>
      </w:r>
    </w:p>
    <w:p w14:paraId="7A8E635C" w14:textId="77777777" w:rsidR="0041425D" w:rsidRDefault="00000000">
      <w:pPr>
        <w:pStyle w:val="Ttulo2"/>
      </w:pPr>
      <w:bookmarkStart w:id="21" w:name="proyectos-desarrollados"/>
      <w:r>
        <w:t>6.1 Proyectos desarrollados</w:t>
      </w:r>
    </w:p>
    <w:p w14:paraId="4386B5CC" w14:textId="77777777" w:rsidR="0041425D" w:rsidRDefault="00000000">
      <w:pPr>
        <w:numPr>
          <w:ilvl w:val="0"/>
          <w:numId w:val="11"/>
        </w:numPr>
      </w:pPr>
      <w:r>
        <w:t>Iniciativas de alimentación saludable/sostenible implementadas</w:t>
      </w:r>
    </w:p>
    <w:p w14:paraId="21F92E99" w14:textId="77777777" w:rsidR="0041425D" w:rsidRDefault="00000000">
      <w:pPr>
        <w:numPr>
          <w:ilvl w:val="0"/>
          <w:numId w:val="11"/>
        </w:numPr>
      </w:pPr>
      <w:r>
        <w:t>Programas de salud comunitaria con componente alimentario</w:t>
      </w:r>
    </w:p>
    <w:p w14:paraId="6F7D751A" w14:textId="77777777" w:rsidR="0041425D" w:rsidRDefault="00000000">
      <w:pPr>
        <w:numPr>
          <w:ilvl w:val="0"/>
          <w:numId w:val="11"/>
        </w:numPr>
      </w:pPr>
      <w:r>
        <w:t>Proyectos de huertos urbanos, compostaje comunitario</w:t>
      </w:r>
    </w:p>
    <w:p w14:paraId="3B025843" w14:textId="77777777" w:rsidR="0041425D" w:rsidRDefault="00000000">
      <w:pPr>
        <w:numPr>
          <w:ilvl w:val="0"/>
          <w:numId w:val="11"/>
        </w:numPr>
      </w:pPr>
      <w:r>
        <w:t>Resultados y aprendizajes obtenidos</w:t>
      </w:r>
    </w:p>
    <w:p w14:paraId="6400D8E1" w14:textId="77777777" w:rsidR="0041425D" w:rsidRDefault="00000000">
      <w:pPr>
        <w:pStyle w:val="Ttulo2"/>
      </w:pPr>
      <w:bookmarkStart w:id="22" w:name="redes-y-colaboraciones"/>
      <w:bookmarkEnd w:id="21"/>
      <w:r>
        <w:t>6.2 Redes y colaboraciones</w:t>
      </w:r>
    </w:p>
    <w:p w14:paraId="0F8D2814" w14:textId="77777777" w:rsidR="0041425D" w:rsidRDefault="00000000">
      <w:pPr>
        <w:numPr>
          <w:ilvl w:val="0"/>
          <w:numId w:val="12"/>
        </w:numPr>
      </w:pPr>
      <w:r>
        <w:t>Conexiones con productores locales</w:t>
      </w:r>
    </w:p>
    <w:p w14:paraId="35472FCE" w14:textId="77777777" w:rsidR="0041425D" w:rsidRDefault="00000000">
      <w:pPr>
        <w:numPr>
          <w:ilvl w:val="0"/>
          <w:numId w:val="12"/>
        </w:numPr>
      </w:pPr>
      <w:r>
        <w:lastRenderedPageBreak/>
        <w:t>Participación en redes de consumo responsable</w:t>
      </w:r>
    </w:p>
    <w:p w14:paraId="0701AF95" w14:textId="77777777" w:rsidR="0041425D" w:rsidRDefault="00000000">
      <w:pPr>
        <w:numPr>
          <w:ilvl w:val="0"/>
          <w:numId w:val="12"/>
        </w:numPr>
      </w:pPr>
      <w:r>
        <w:t>Colaboraciones interterritoriales</w:t>
      </w:r>
    </w:p>
    <w:p w14:paraId="778A13B4" w14:textId="77777777" w:rsidR="0041425D" w:rsidRDefault="00000000">
      <w:pPr>
        <w:pStyle w:val="Ttulo1"/>
      </w:pPr>
      <w:bookmarkStart w:id="23" w:name="necesidades-y-demandas-identificadas"/>
      <w:bookmarkEnd w:id="20"/>
      <w:bookmarkEnd w:id="22"/>
      <w:r>
        <w:t>7. NECESIDADES Y DEMANDAS IDENTIFICADAS</w:t>
      </w:r>
    </w:p>
    <w:p w14:paraId="0722E1F2" w14:textId="77777777" w:rsidR="0041425D" w:rsidRDefault="00000000">
      <w:pPr>
        <w:pStyle w:val="Ttulo2"/>
      </w:pPr>
      <w:bookmarkStart w:id="24" w:name="necesidades-en-alimentación-saludable"/>
      <w:r>
        <w:t>7.1 Necesidades en alimentación saludable</w:t>
      </w:r>
    </w:p>
    <w:p w14:paraId="6042B6A3" w14:textId="77777777" w:rsidR="0041425D" w:rsidRDefault="00000000">
      <w:pPr>
        <w:numPr>
          <w:ilvl w:val="0"/>
          <w:numId w:val="13"/>
        </w:numPr>
      </w:pPr>
      <w:r>
        <w:t>Problemas nutricionales detectados</w:t>
      </w:r>
    </w:p>
    <w:p w14:paraId="7A656E1E" w14:textId="77777777" w:rsidR="0041425D" w:rsidRDefault="00000000">
      <w:pPr>
        <w:numPr>
          <w:ilvl w:val="0"/>
          <w:numId w:val="13"/>
        </w:numPr>
      </w:pPr>
      <w:r>
        <w:t>Barreras para el acceso a alimentación saludable</w:t>
      </w:r>
    </w:p>
    <w:p w14:paraId="203E6C1D" w14:textId="77777777" w:rsidR="0041425D" w:rsidRDefault="00000000">
      <w:pPr>
        <w:numPr>
          <w:ilvl w:val="0"/>
          <w:numId w:val="13"/>
        </w:numPr>
      </w:pPr>
      <w:r>
        <w:t>Demandas expresadas por la comunidad</w:t>
      </w:r>
    </w:p>
    <w:p w14:paraId="15C647B7" w14:textId="77777777" w:rsidR="0041425D" w:rsidRDefault="00000000">
      <w:pPr>
        <w:pStyle w:val="Ttulo2"/>
      </w:pPr>
      <w:bookmarkStart w:id="25" w:name="oportunidades-de-mejora"/>
      <w:bookmarkEnd w:id="24"/>
      <w:r>
        <w:t>7.2 Oportunidades de mejora</w:t>
      </w:r>
    </w:p>
    <w:p w14:paraId="72B9ED47" w14:textId="77777777" w:rsidR="0041425D" w:rsidRDefault="00000000">
      <w:pPr>
        <w:numPr>
          <w:ilvl w:val="0"/>
          <w:numId w:val="14"/>
        </w:numPr>
      </w:pPr>
      <w:r>
        <w:t>Espacios para mejorar la oferta alimentaria</w:t>
      </w:r>
    </w:p>
    <w:p w14:paraId="61D0A6AA" w14:textId="77777777" w:rsidR="0041425D" w:rsidRDefault="00000000">
      <w:pPr>
        <w:numPr>
          <w:ilvl w:val="0"/>
          <w:numId w:val="14"/>
        </w:numPr>
      </w:pPr>
      <w:r>
        <w:t>Potencial para nuevas iniciativas</w:t>
      </w:r>
    </w:p>
    <w:p w14:paraId="1C96BAED" w14:textId="77777777" w:rsidR="0041425D" w:rsidRDefault="00000000">
      <w:pPr>
        <w:numPr>
          <w:ilvl w:val="0"/>
          <w:numId w:val="14"/>
        </w:numPr>
      </w:pPr>
      <w:r>
        <w:t>Recursos infrautilizados</w:t>
      </w:r>
    </w:p>
    <w:p w14:paraId="2486320D" w14:textId="77777777" w:rsidR="0041425D" w:rsidRDefault="00000000">
      <w:pPr>
        <w:pStyle w:val="Ttulo1"/>
      </w:pPr>
      <w:bookmarkStart w:id="26" w:name="Xed2b968c88d329af313b165775aa12120311061"/>
      <w:bookmarkEnd w:id="23"/>
      <w:bookmarkEnd w:id="25"/>
      <w:r>
        <w:t>8. POTENCIAL PARA LA IMPLANTACIÓN DE ALBARRIO</w:t>
      </w:r>
    </w:p>
    <w:p w14:paraId="4B3AD020" w14:textId="77777777" w:rsidR="0041425D" w:rsidRDefault="00000000">
      <w:pPr>
        <w:pStyle w:val="Ttulo2"/>
      </w:pPr>
      <w:bookmarkStart w:id="27" w:name="fortalezas-del-territorio"/>
      <w:r>
        <w:t>8.1 Fortalezas del territorio</w:t>
      </w:r>
    </w:p>
    <w:p w14:paraId="2A4F2655" w14:textId="77777777" w:rsidR="0041425D" w:rsidRDefault="00000000">
      <w:pPr>
        <w:numPr>
          <w:ilvl w:val="0"/>
          <w:numId w:val="15"/>
        </w:numPr>
      </w:pPr>
      <w:r>
        <w:t>Activos comunitarios identificados</w:t>
      </w:r>
    </w:p>
    <w:p w14:paraId="397E4207" w14:textId="77777777" w:rsidR="0041425D" w:rsidRDefault="00000000">
      <w:pPr>
        <w:numPr>
          <w:ilvl w:val="0"/>
          <w:numId w:val="15"/>
        </w:numPr>
      </w:pPr>
      <w:r>
        <w:t>Experiencia previa en participación</w:t>
      </w:r>
    </w:p>
    <w:p w14:paraId="3BB7D465" w14:textId="77777777" w:rsidR="0041425D" w:rsidRDefault="00000000">
      <w:pPr>
        <w:numPr>
          <w:ilvl w:val="0"/>
          <w:numId w:val="15"/>
        </w:numPr>
      </w:pPr>
      <w:r>
        <w:t>Compromiso de actores clave</w:t>
      </w:r>
    </w:p>
    <w:p w14:paraId="165BF5F8" w14:textId="77777777" w:rsidR="0041425D" w:rsidRDefault="00000000">
      <w:pPr>
        <w:pStyle w:val="Ttulo2"/>
      </w:pPr>
      <w:bookmarkStart w:id="28" w:name="retos-y-barreras"/>
      <w:bookmarkEnd w:id="27"/>
      <w:r>
        <w:t>8.2 Retos y barreras</w:t>
      </w:r>
    </w:p>
    <w:p w14:paraId="60F7E550" w14:textId="77777777" w:rsidR="0041425D" w:rsidRDefault="00000000">
      <w:pPr>
        <w:numPr>
          <w:ilvl w:val="0"/>
          <w:numId w:val="16"/>
        </w:numPr>
      </w:pPr>
      <w:r>
        <w:t>Obstáculos previsibles para la implantación</w:t>
      </w:r>
    </w:p>
    <w:p w14:paraId="21250D13" w14:textId="77777777" w:rsidR="0041425D" w:rsidRDefault="00000000">
      <w:pPr>
        <w:numPr>
          <w:ilvl w:val="0"/>
          <w:numId w:val="16"/>
        </w:numPr>
      </w:pPr>
      <w:r>
        <w:t>Resistencias potenciales</w:t>
      </w:r>
    </w:p>
    <w:p w14:paraId="257351AB" w14:textId="77777777" w:rsidR="0041425D" w:rsidRDefault="00000000">
      <w:pPr>
        <w:numPr>
          <w:ilvl w:val="0"/>
          <w:numId w:val="16"/>
        </w:numPr>
      </w:pPr>
      <w:r>
        <w:t>Recursos limitados</w:t>
      </w:r>
    </w:p>
    <w:p w14:paraId="5410D6B3" w14:textId="77777777" w:rsidR="0041425D" w:rsidRDefault="00000000">
      <w:pPr>
        <w:pStyle w:val="Ttulo2"/>
      </w:pPr>
      <w:bookmarkStart w:id="29" w:name="oportunidades-específicas"/>
      <w:bookmarkEnd w:id="28"/>
      <w:r>
        <w:t>8.3 Oportunidades específicas</w:t>
      </w:r>
    </w:p>
    <w:p w14:paraId="2509791B" w14:textId="77777777" w:rsidR="0041425D" w:rsidRDefault="00000000">
      <w:pPr>
        <w:numPr>
          <w:ilvl w:val="0"/>
          <w:numId w:val="17"/>
        </w:numPr>
      </w:pPr>
      <w:r>
        <w:t>Sinergias con iniciativas existentes</w:t>
      </w:r>
    </w:p>
    <w:p w14:paraId="7777BFBF" w14:textId="77777777" w:rsidR="0041425D" w:rsidRDefault="00000000">
      <w:pPr>
        <w:numPr>
          <w:ilvl w:val="0"/>
          <w:numId w:val="17"/>
        </w:numPr>
      </w:pPr>
      <w:r>
        <w:t>Momentos favorables (eventos, calendarios)</w:t>
      </w:r>
    </w:p>
    <w:p w14:paraId="4803F268" w14:textId="77777777" w:rsidR="0041425D" w:rsidRDefault="00000000">
      <w:pPr>
        <w:numPr>
          <w:ilvl w:val="0"/>
          <w:numId w:val="17"/>
        </w:numPr>
      </w:pPr>
      <w:r>
        <w:t>Alianzas estratégicas posibles</w:t>
      </w:r>
    </w:p>
    <w:p w14:paraId="2D2697EC" w14:textId="77777777" w:rsidR="0041425D" w:rsidRDefault="00000000">
      <w:pPr>
        <w:pStyle w:val="Ttulo1"/>
      </w:pPr>
      <w:bookmarkStart w:id="30" w:name="conclusiones-y-justificación"/>
      <w:bookmarkEnd w:id="26"/>
      <w:bookmarkEnd w:id="29"/>
      <w:r>
        <w:t>9. CONCLUSIONES Y JUSTIFICACIÓN</w:t>
      </w:r>
    </w:p>
    <w:p w14:paraId="3C9EFEA5" w14:textId="77777777" w:rsidR="0041425D" w:rsidRDefault="00000000">
      <w:pPr>
        <w:pStyle w:val="Ttulo2"/>
      </w:pPr>
      <w:bookmarkStart w:id="31" w:name="idoneidad-del-territorio"/>
      <w:r>
        <w:t>9.1 Idoneidad del territorio</w:t>
      </w:r>
    </w:p>
    <w:p w14:paraId="3A9BC57A" w14:textId="77777777" w:rsidR="0041425D" w:rsidRDefault="00000000">
      <w:pPr>
        <w:numPr>
          <w:ilvl w:val="0"/>
          <w:numId w:val="18"/>
        </w:numPr>
      </w:pPr>
      <w:r>
        <w:t xml:space="preserve">Síntesis de por qué este territorio es adecuado para </w:t>
      </w:r>
      <w:proofErr w:type="spellStart"/>
      <w:r>
        <w:t>Albarrio</w:t>
      </w:r>
      <w:proofErr w:type="spellEnd"/>
    </w:p>
    <w:p w14:paraId="04F3A261" w14:textId="77777777" w:rsidR="0041425D" w:rsidRDefault="00000000">
      <w:pPr>
        <w:numPr>
          <w:ilvl w:val="0"/>
          <w:numId w:val="18"/>
        </w:numPr>
      </w:pPr>
      <w:r>
        <w:t>Alineación con los objetivos del proyecto</w:t>
      </w:r>
    </w:p>
    <w:p w14:paraId="11A91A8A" w14:textId="77777777" w:rsidR="0041425D" w:rsidRDefault="00000000">
      <w:pPr>
        <w:pStyle w:val="Ttulo2"/>
      </w:pPr>
      <w:bookmarkStart w:id="32" w:name="impacto-esperado"/>
      <w:bookmarkEnd w:id="31"/>
      <w:r>
        <w:t>9.2 Impacto esperado</w:t>
      </w:r>
    </w:p>
    <w:p w14:paraId="1F6BD58F" w14:textId="77777777" w:rsidR="0041425D" w:rsidRDefault="00000000">
      <w:pPr>
        <w:numPr>
          <w:ilvl w:val="0"/>
          <w:numId w:val="19"/>
        </w:numPr>
      </w:pPr>
      <w:r>
        <w:t>Beneficios previstos para la población</w:t>
      </w:r>
    </w:p>
    <w:p w14:paraId="06EC95FC" w14:textId="77777777" w:rsidR="0041425D" w:rsidRDefault="00000000">
      <w:pPr>
        <w:numPr>
          <w:ilvl w:val="0"/>
          <w:numId w:val="19"/>
        </w:numPr>
      </w:pPr>
      <w:r>
        <w:t>Contribución a la mejora del sistema alimentario local</w:t>
      </w:r>
    </w:p>
    <w:p w14:paraId="3D429F84" w14:textId="77777777" w:rsidR="0041425D" w:rsidRDefault="00000000">
      <w:pPr>
        <w:numPr>
          <w:ilvl w:val="0"/>
          <w:numId w:val="19"/>
        </w:numPr>
      </w:pPr>
      <w:r>
        <w:lastRenderedPageBreak/>
        <w:t>Sostenibilidad a largo plazo</w:t>
      </w:r>
    </w:p>
    <w:p w14:paraId="3755B4A7" w14:textId="77777777" w:rsidR="0041425D" w:rsidRDefault="00000000">
      <w:r>
        <w:rPr>
          <w:b/>
          <w:bCs/>
        </w:rPr>
        <w:t>ANEXOS</w:t>
      </w:r>
      <w:r>
        <w:t xml:space="preserve"> (si procede) - Mapas del territorio - Fotografías representativas - Datos estadísticos detallados - Documentos de referencia</w:t>
      </w:r>
    </w:p>
    <w:bookmarkEnd w:id="30"/>
    <w:bookmarkEnd w:id="32"/>
    <w:p w14:paraId="6E0037FE" w14:textId="35B34753" w:rsidR="0041425D" w:rsidRDefault="0041425D"/>
    <w:sectPr w:rsidR="0041425D" w:rsidSect="00955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6EB8" w14:textId="77777777" w:rsidR="00A626F0" w:rsidRDefault="00A626F0">
      <w:pPr>
        <w:spacing w:after="0"/>
      </w:pPr>
      <w:r>
        <w:separator/>
      </w:r>
    </w:p>
  </w:endnote>
  <w:endnote w:type="continuationSeparator" w:id="0">
    <w:p w14:paraId="6075AAA0" w14:textId="77777777" w:rsidR="00A626F0" w:rsidRDefault="00A62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416A" w14:textId="77777777" w:rsidR="00886E73" w:rsidRDefault="00886E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648755"/>
      <w:docPartObj>
        <w:docPartGallery w:val="Page Numbers (Bottom of Page)"/>
        <w:docPartUnique/>
      </w:docPartObj>
    </w:sdtPr>
    <w:sdtContent>
      <w:p w14:paraId="06192F3E" w14:textId="77777777" w:rsidR="00886E73" w:rsidRDefault="00886E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6162C" w14:textId="4B5EFC5B" w:rsidR="00886E73" w:rsidRDefault="00506F47">
    <w:pPr>
      <w:pStyle w:val="Piedepgina"/>
    </w:pPr>
    <w:r>
      <w:rPr>
        <w:noProof/>
      </w:rPr>
      <w:drawing>
        <wp:inline distT="0" distB="0" distL="0" distR="0" wp14:anchorId="5A4DD715" wp14:editId="16E4C5C7">
          <wp:extent cx="2857500" cy="523875"/>
          <wp:effectExtent l="0" t="0" r="0" b="9525"/>
          <wp:docPr id="240794567" name="Imagen 1" descr="Imagen que contiene plato, dibujo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94567" name="Imagen 1" descr="Imagen que contiene plato, dibujo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6F47">
      <w:t xml:space="preserve"> </w:t>
    </w:r>
    <w:r>
      <w:rPr>
        <w:noProof/>
      </w:rPr>
      <w:drawing>
        <wp:inline distT="0" distB="0" distL="0" distR="0" wp14:anchorId="3282F32E" wp14:editId="463FD3CA">
          <wp:extent cx="1905000" cy="717550"/>
          <wp:effectExtent l="0" t="0" r="0" b="6350"/>
          <wp:docPr id="544429312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9312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043" cy="726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3C29" w14:textId="77777777" w:rsidR="00886E73" w:rsidRDefault="00886E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1C7B" w14:textId="77777777" w:rsidR="00A626F0" w:rsidRDefault="00A626F0">
      <w:pPr>
        <w:spacing w:after="0"/>
      </w:pPr>
      <w:r>
        <w:separator/>
      </w:r>
    </w:p>
  </w:footnote>
  <w:footnote w:type="continuationSeparator" w:id="0">
    <w:p w14:paraId="7D8B066B" w14:textId="77777777" w:rsidR="00A626F0" w:rsidRDefault="00A626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841F" w14:textId="77777777" w:rsidR="00886E73" w:rsidRDefault="00886E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58C1" w14:textId="77777777" w:rsidR="00886E73" w:rsidRDefault="00886E73">
    <w:pPr>
      <w:pStyle w:val="Encabezado"/>
    </w:pPr>
    <w:r>
      <w:rPr>
        <w:noProof/>
      </w:rPr>
      <w:drawing>
        <wp:inline distT="0" distB="0" distL="0" distR="0" wp14:anchorId="03D82E1B" wp14:editId="176D657A">
          <wp:extent cx="5753100" cy="577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055" w14:textId="77777777" w:rsidR="00886E73" w:rsidRDefault="00886E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6CAB6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AFEF1C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453EBD"/>
    <w:multiLevelType w:val="hybridMultilevel"/>
    <w:tmpl w:val="56E06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B6FAB"/>
    <w:multiLevelType w:val="hybridMultilevel"/>
    <w:tmpl w:val="7DD24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9770E"/>
    <w:multiLevelType w:val="hybridMultilevel"/>
    <w:tmpl w:val="485A3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38844">
    <w:abstractNumId w:val="0"/>
  </w:num>
  <w:num w:numId="2" w16cid:durableId="74279297">
    <w:abstractNumId w:val="1"/>
  </w:num>
  <w:num w:numId="3" w16cid:durableId="1918513629">
    <w:abstractNumId w:val="1"/>
  </w:num>
  <w:num w:numId="4" w16cid:durableId="1485120114">
    <w:abstractNumId w:val="1"/>
  </w:num>
  <w:num w:numId="5" w16cid:durableId="1644001391">
    <w:abstractNumId w:val="1"/>
  </w:num>
  <w:num w:numId="6" w16cid:durableId="1047610273">
    <w:abstractNumId w:val="1"/>
  </w:num>
  <w:num w:numId="7" w16cid:durableId="424229070">
    <w:abstractNumId w:val="1"/>
  </w:num>
  <w:num w:numId="8" w16cid:durableId="785543969">
    <w:abstractNumId w:val="1"/>
  </w:num>
  <w:num w:numId="9" w16cid:durableId="1073896671">
    <w:abstractNumId w:val="1"/>
  </w:num>
  <w:num w:numId="10" w16cid:durableId="1426851773">
    <w:abstractNumId w:val="1"/>
  </w:num>
  <w:num w:numId="11" w16cid:durableId="96295976">
    <w:abstractNumId w:val="1"/>
  </w:num>
  <w:num w:numId="12" w16cid:durableId="487356817">
    <w:abstractNumId w:val="1"/>
  </w:num>
  <w:num w:numId="13" w16cid:durableId="486635551">
    <w:abstractNumId w:val="1"/>
  </w:num>
  <w:num w:numId="14" w16cid:durableId="1330446837">
    <w:abstractNumId w:val="1"/>
  </w:num>
  <w:num w:numId="15" w16cid:durableId="47725572">
    <w:abstractNumId w:val="1"/>
  </w:num>
  <w:num w:numId="16" w16cid:durableId="175929082">
    <w:abstractNumId w:val="1"/>
  </w:num>
  <w:num w:numId="17" w16cid:durableId="1611011109">
    <w:abstractNumId w:val="1"/>
  </w:num>
  <w:num w:numId="18" w16cid:durableId="1238520557">
    <w:abstractNumId w:val="1"/>
  </w:num>
  <w:num w:numId="19" w16cid:durableId="1597513596">
    <w:abstractNumId w:val="1"/>
  </w:num>
  <w:num w:numId="20" w16cid:durableId="544950076">
    <w:abstractNumId w:val="2"/>
  </w:num>
  <w:num w:numId="21" w16cid:durableId="966934064">
    <w:abstractNumId w:val="4"/>
  </w:num>
  <w:num w:numId="22" w16cid:durableId="1337809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F"/>
    <w:rsid w:val="00065924"/>
    <w:rsid w:val="0008630A"/>
    <w:rsid w:val="000A6960"/>
    <w:rsid w:val="0015187F"/>
    <w:rsid w:val="00244500"/>
    <w:rsid w:val="002D0017"/>
    <w:rsid w:val="00321CB7"/>
    <w:rsid w:val="00345D12"/>
    <w:rsid w:val="00391B16"/>
    <w:rsid w:val="00413C41"/>
    <w:rsid w:val="0041425D"/>
    <w:rsid w:val="00506F47"/>
    <w:rsid w:val="00617ED2"/>
    <w:rsid w:val="006630C1"/>
    <w:rsid w:val="00663252"/>
    <w:rsid w:val="00744AAB"/>
    <w:rsid w:val="00784EDF"/>
    <w:rsid w:val="00785204"/>
    <w:rsid w:val="007917B4"/>
    <w:rsid w:val="00886E73"/>
    <w:rsid w:val="009008A3"/>
    <w:rsid w:val="00954509"/>
    <w:rsid w:val="00955FDE"/>
    <w:rsid w:val="00982341"/>
    <w:rsid w:val="00A626F0"/>
    <w:rsid w:val="00A6767F"/>
    <w:rsid w:val="00BA1765"/>
    <w:rsid w:val="00BD770F"/>
    <w:rsid w:val="00DE15B3"/>
    <w:rsid w:val="00E80E13"/>
    <w:rsid w:val="00E91B77"/>
    <w:rsid w:val="00F13D2A"/>
    <w:rsid w:val="00F644ED"/>
    <w:rsid w:val="00FB50D9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4143"/>
  <w15:docId w15:val="{59A31FA2-AF8F-4249-BC6A-E23249C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Lato"/>
        <w:color w:val="353744"/>
        <w:sz w:val="21"/>
        <w:szCs w:val="21"/>
        <w:lang w:val="es" w:eastAsia="es-E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EF"/>
    <w:pPr>
      <w:spacing w:before="0" w:after="120" w:line="240" w:lineRule="auto"/>
      <w:jc w:val="both"/>
    </w:pPr>
    <w:rPr>
      <w:rFonts w:ascii="Barlow" w:hAnsi="Barlow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D770F"/>
    <w:pPr>
      <w:keepNext/>
      <w:keepLines/>
      <w:spacing w:before="24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6EF"/>
    <w:pPr>
      <w:keepNext/>
      <w:keepLines/>
      <w:spacing w:before="40"/>
      <w:outlineLvl w:val="1"/>
    </w:pPr>
    <w:rPr>
      <w:rFonts w:eastAsiaTheme="majorEastAsia" w:cstheme="majorBidi"/>
      <w:b/>
      <w:color w:val="auto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46EF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770F"/>
    <w:pPr>
      <w:contextualSpacing/>
    </w:pPr>
    <w:rPr>
      <w:rFonts w:eastAsiaTheme="majorEastAsia" w:cstheme="majorBidi"/>
      <w:b/>
      <w:color w:val="auto"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770F"/>
    <w:rPr>
      <w:rFonts w:ascii="Barlow" w:eastAsiaTheme="majorEastAsia" w:hAnsi="Barlow" w:cstheme="majorBidi"/>
      <w:b/>
      <w:color w:val="auto"/>
      <w:spacing w:val="-10"/>
      <w:kern w:val="28"/>
      <w:sz w:val="4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BD770F"/>
    <w:rPr>
      <w:rFonts w:ascii="Barlow" w:eastAsiaTheme="majorEastAsia" w:hAnsi="Barlow" w:cstheme="majorBidi"/>
      <w:b/>
      <w:color w:val="auto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6EF"/>
    <w:rPr>
      <w:rFonts w:ascii="Barlow" w:eastAsiaTheme="majorEastAsia" w:hAnsi="Barlow" w:cstheme="majorBidi"/>
      <w:b/>
      <w:color w:val="auto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86E7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E73"/>
    <w:rPr>
      <w:rFonts w:ascii="Barlow" w:hAnsi="Barl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86E7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E73"/>
    <w:rPr>
      <w:rFonts w:ascii="Barlow" w:hAnsi="Barlow"/>
      <w:sz w:val="22"/>
    </w:rPr>
  </w:style>
  <w:style w:type="character" w:customStyle="1" w:styleId="Ttulo3Car">
    <w:name w:val="Título 3 Car"/>
    <w:basedOn w:val="Fuentedeprrafopredeter"/>
    <w:link w:val="Ttulo3"/>
    <w:uiPriority w:val="9"/>
    <w:rsid w:val="00FC46EF"/>
    <w:rPr>
      <w:rFonts w:ascii="Barlow" w:eastAsiaTheme="majorEastAsia" w:hAnsi="Barlow" w:cstheme="majorBidi"/>
      <w:b/>
      <w:color w:val="auto"/>
      <w:sz w:val="22"/>
      <w:szCs w:val="24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Prrafodelista">
    <w:name w:val="List Paragraph"/>
    <w:basedOn w:val="Normal"/>
    <w:uiPriority w:val="34"/>
    <w:qFormat/>
    <w:rsid w:val="0098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905</Words>
  <Characters>5412</Characters>
  <Application>Microsoft Office Word</Application>
  <DocSecurity>0</DocSecurity>
  <Lines>93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DETALLADO DEL TERRITORIO</dc:title>
  <dc:creator/>
  <cp:keywords/>
  <cp:lastModifiedBy>Jorge  Molero Cortes</cp:lastModifiedBy>
  <cp:revision>5</cp:revision>
  <dcterms:created xsi:type="dcterms:W3CDTF">2025-07-11T10:27:00Z</dcterms:created>
  <dcterms:modified xsi:type="dcterms:W3CDTF">2025-08-12T10:15:00Z</dcterms:modified>
</cp:coreProperties>
</file>