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90" w:lineRule="auto"/>
        <w:ind w:left="1" w:hanging="3"/>
        <w:jc w:val="left"/>
        <w:rPr>
          <w:rFonts w:ascii="Barlow Black" w:cs="Barlow Black" w:eastAsia="Barlow Black" w:hAnsi="Barlow Black"/>
          <w:color w:val="215868"/>
          <w:sz w:val="34"/>
          <w:szCs w:val="34"/>
        </w:rPr>
      </w:pPr>
      <w:bookmarkStart w:colFirst="0" w:colLast="0" w:name="_heading=h.1fob9te" w:id="0"/>
      <w:bookmarkEnd w:id="0"/>
      <w:r w:rsidDel="00000000" w:rsidR="00000000" w:rsidRPr="00000000">
        <w:rPr>
          <w:rFonts w:ascii="Barlow Black" w:cs="Barlow Black" w:eastAsia="Barlow Black" w:hAnsi="Barlow Black"/>
          <w:color w:val="215868"/>
          <w:sz w:val="34"/>
          <w:szCs w:val="34"/>
          <w:rtl w:val="0"/>
        </w:rPr>
        <w:t xml:space="preserve">MANIFIESTO DE ADHESIÓN A LA RED DE MUNICIPIOS POR LA AGROECOLOGÍA: POR UNA POLÍTICA ALIMENTARIA MÁS JUSTA, SALUDABLE Y SOSTENIBLE</w:t>
      </w:r>
    </w:p>
    <w:p w:rsidR="00000000" w:rsidDel="00000000" w:rsidP="00000000" w:rsidRDefault="00000000" w:rsidRPr="00000000" w14:paraId="00000002">
      <w:pPr>
        <w:spacing w:after="160" w:before="0" w:line="48" w:lineRule="auto"/>
        <w:ind w:left="0" w:hanging="2"/>
        <w:jc w:val="left"/>
        <w:rPr>
          <w:rFonts w:ascii="Barlow Black" w:cs="Barlow Black" w:eastAsia="Barlow Black" w:hAnsi="Barlow Black"/>
          <w:color w:val="215868"/>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widowControl w:val="0"/>
        <w:spacing w:before="0" w:line="229" w:lineRule="auto"/>
        <w:ind w:left="0" w:right="48" w:hanging="2"/>
        <w:rPr>
          <w:rFonts w:ascii="Barlow" w:cs="Barlow" w:eastAsia="Barlow" w:hAnsi="Barlow"/>
          <w:b w:val="1"/>
          <w:sz w:val="22"/>
          <w:szCs w:val="22"/>
        </w:rPr>
      </w:pPr>
      <w:r w:rsidDel="00000000" w:rsidR="00000000" w:rsidRPr="00000000">
        <w:rPr>
          <w:rFonts w:ascii="Barlow" w:cs="Barlow" w:eastAsia="Barlow" w:hAnsi="Barlow"/>
          <w:color w:val="353334"/>
          <w:sz w:val="22"/>
          <w:szCs w:val="22"/>
          <w:rtl w:val="0"/>
        </w:rPr>
        <w:t xml:space="preserve">El sistema agroalimentario (SA) permite distribuir productos que cumplen la función de la alimentación humana en una sociedad determinada. Sin embargo, el sistema actual globalizado tiene importantes </w:t>
      </w:r>
      <w:r w:rsidDel="00000000" w:rsidR="00000000" w:rsidRPr="00000000">
        <w:rPr>
          <w:rFonts w:ascii="Barlow" w:cs="Barlow" w:eastAsia="Barlow" w:hAnsi="Barlow"/>
          <w:b w:val="1"/>
          <w:sz w:val="22"/>
          <w:szCs w:val="22"/>
          <w:rtl w:val="0"/>
        </w:rPr>
        <w:t xml:space="preserve">impactos ambientales, sociales y económicos:</w:t>
      </w:r>
    </w:p>
    <w:p w:rsidR="00000000" w:rsidDel="00000000" w:rsidP="00000000" w:rsidRDefault="00000000" w:rsidRPr="00000000" w14:paraId="00000004">
      <w:pPr>
        <w:widowControl w:val="0"/>
        <w:spacing w:before="0" w:line="229" w:lineRule="auto"/>
        <w:ind w:left="0" w:right="48" w:hanging="2"/>
        <w:rPr>
          <w:rFonts w:ascii="Barlow Light" w:cs="Barlow Light" w:eastAsia="Barlow Light" w:hAnsi="Barlow Light"/>
          <w:sz w:val="22"/>
          <w:szCs w:val="22"/>
          <w:highlight w:val="yellow"/>
        </w:rPr>
      </w:pPr>
      <w:r w:rsidDel="00000000" w:rsidR="00000000" w:rsidRPr="00000000">
        <w:rPr>
          <w:rtl w:val="0"/>
        </w:rPr>
      </w:r>
    </w:p>
    <w:p w:rsidR="00000000" w:rsidDel="00000000" w:rsidP="00000000" w:rsidRDefault="00000000" w:rsidRPr="00000000" w14:paraId="00000005">
      <w:pPr>
        <w:widowControl w:val="0"/>
        <w:numPr>
          <w:ilvl w:val="0"/>
          <w:numId w:val="4"/>
        </w:numPr>
        <w:pBdr>
          <w:top w:space="0" w:sz="0" w:val="nil"/>
          <w:left w:space="0" w:sz="0" w:val="nil"/>
          <w:bottom w:space="0" w:sz="0" w:val="nil"/>
          <w:right w:space="0" w:sz="0" w:val="nil"/>
          <w:between w:space="0" w:sz="0" w:val="nil"/>
        </w:pBdr>
        <w:spacing w:before="0" w:line="229" w:lineRule="auto"/>
        <w:ind w:left="0" w:right="48" w:hanging="2"/>
        <w:jc w:val="left"/>
        <w:rPr>
          <w:rFonts w:ascii="Barlow" w:cs="Barlow" w:eastAsia="Barlow" w:hAnsi="Barlow"/>
          <w:sz w:val="22"/>
          <w:szCs w:val="22"/>
        </w:rPr>
      </w:pPr>
      <w:r w:rsidDel="00000000" w:rsidR="00000000" w:rsidRPr="00000000">
        <w:rPr>
          <w:rFonts w:ascii="Barlow" w:cs="Barlow" w:eastAsia="Barlow" w:hAnsi="Barlow"/>
          <w:color w:val="353334"/>
          <w:sz w:val="22"/>
          <w:szCs w:val="22"/>
          <w:rtl w:val="0"/>
        </w:rPr>
        <w:t xml:space="preserve">La cadena de valor de productos alimentarios está muy desequilibrada y </w:t>
      </w:r>
      <w:r w:rsidDel="00000000" w:rsidR="00000000" w:rsidRPr="00000000">
        <w:rPr>
          <w:rFonts w:ascii="Barlow" w:cs="Barlow" w:eastAsia="Barlow" w:hAnsi="Barlow"/>
          <w:b w:val="1"/>
          <w:color w:val="353334"/>
          <w:sz w:val="22"/>
          <w:szCs w:val="22"/>
          <w:rtl w:val="0"/>
        </w:rPr>
        <w:t xml:space="preserve">los productores primarios reciben una mínima parte del valor producido,</w:t>
      </w:r>
      <w:r w:rsidDel="00000000" w:rsidR="00000000" w:rsidRPr="00000000">
        <w:rPr>
          <w:rFonts w:ascii="Barlow" w:cs="Barlow" w:eastAsia="Barlow" w:hAnsi="Barlow"/>
          <w:color w:val="353334"/>
          <w:sz w:val="22"/>
          <w:szCs w:val="22"/>
          <w:rtl w:val="0"/>
        </w:rPr>
        <w:t xml:space="preserve"> siendo unas de las personas con menor renta del estado</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Barlow" w:cs="Barlow" w:eastAsia="Barlow" w:hAnsi="Barlow"/>
          <w:color w:val="353334"/>
          <w:sz w:val="22"/>
          <w:szCs w:val="22"/>
          <w:rtl w:val="0"/>
        </w:rPr>
        <w:t xml:space="preserve">. Las </w:t>
      </w:r>
      <w:r w:rsidDel="00000000" w:rsidR="00000000" w:rsidRPr="00000000">
        <w:rPr>
          <w:rFonts w:ascii="Barlow" w:cs="Barlow" w:eastAsia="Barlow" w:hAnsi="Barlow"/>
          <w:b w:val="1"/>
          <w:color w:val="353334"/>
          <w:sz w:val="22"/>
          <w:szCs w:val="22"/>
          <w:rtl w:val="0"/>
        </w:rPr>
        <w:t xml:space="preserve"> PYMES agroalimentarias</w:t>
      </w:r>
      <w:r w:rsidDel="00000000" w:rsidR="00000000" w:rsidRPr="00000000">
        <w:rPr>
          <w:rFonts w:ascii="Barlow" w:cs="Barlow" w:eastAsia="Barlow" w:hAnsi="Barlow"/>
          <w:color w:val="353334"/>
          <w:sz w:val="22"/>
          <w:szCs w:val="22"/>
          <w:rtl w:val="0"/>
        </w:rPr>
        <w:t xml:space="preserve"> llevan décadas viendo cómo su </w:t>
      </w:r>
      <w:r w:rsidDel="00000000" w:rsidR="00000000" w:rsidRPr="00000000">
        <w:rPr>
          <w:rFonts w:ascii="Barlow" w:cs="Barlow" w:eastAsia="Barlow" w:hAnsi="Barlow"/>
          <w:b w:val="1"/>
          <w:color w:val="353334"/>
          <w:sz w:val="22"/>
          <w:szCs w:val="22"/>
          <w:rtl w:val="0"/>
        </w:rPr>
        <w:t xml:space="preserve">Renta Agraria es cada vez menor</w:t>
      </w:r>
      <w:r w:rsidDel="00000000" w:rsidR="00000000" w:rsidRPr="00000000">
        <w:rPr>
          <w:rFonts w:ascii="Calibri" w:cs="Calibri" w:eastAsia="Calibri" w:hAnsi="Calibri"/>
          <w:b w:val="1"/>
          <w:sz w:val="22"/>
          <w:szCs w:val="22"/>
          <w:vertAlign w:val="superscript"/>
        </w:rPr>
        <w:footnoteReference w:customMarkFollows="0" w:id="0"/>
      </w:r>
      <w:r w:rsidDel="00000000" w:rsidR="00000000" w:rsidRPr="00000000">
        <w:rPr>
          <w:rFonts w:ascii="Barlow" w:cs="Barlow" w:eastAsia="Barlow" w:hAnsi="Barlow"/>
          <w:color w:val="353334"/>
          <w:sz w:val="22"/>
          <w:szCs w:val="22"/>
          <w:rtl w:val="0"/>
        </w:rPr>
        <w:t xml:space="preserve">.  . </w:t>
      </w:r>
      <w:r w:rsidDel="00000000" w:rsidR="00000000" w:rsidRPr="00000000">
        <w:rPr>
          <w:rFonts w:ascii="Barlow" w:cs="Barlow" w:eastAsia="Barlow" w:hAnsi="Barlow"/>
          <w:b w:val="1"/>
          <w:color w:val="353334"/>
          <w:sz w:val="22"/>
          <w:szCs w:val="22"/>
          <w:vertAlign w:val="superscript"/>
          <w:rtl w:val="0"/>
        </w:rPr>
        <w:t xml:space="preserve"> </w:t>
      </w:r>
      <w:r w:rsidDel="00000000" w:rsidR="00000000" w:rsidRPr="00000000">
        <w:rPr>
          <w:rtl w:val="0"/>
        </w:rPr>
      </w:r>
    </w:p>
    <w:p w:rsidR="00000000" w:rsidDel="00000000" w:rsidP="00000000" w:rsidRDefault="00000000" w:rsidRPr="00000000" w14:paraId="00000006">
      <w:pPr>
        <w:widowControl w:val="0"/>
        <w:numPr>
          <w:ilvl w:val="0"/>
          <w:numId w:val="4"/>
        </w:numPr>
        <w:pBdr>
          <w:top w:space="0" w:sz="0" w:val="nil"/>
          <w:left w:space="0" w:sz="0" w:val="nil"/>
          <w:bottom w:space="0" w:sz="0" w:val="nil"/>
          <w:right w:space="0" w:sz="0" w:val="nil"/>
          <w:between w:space="0" w:sz="0" w:val="nil"/>
        </w:pBdr>
        <w:spacing w:before="0" w:line="229" w:lineRule="auto"/>
        <w:ind w:left="0" w:right="48" w:hanging="2"/>
        <w:jc w:val="left"/>
        <w:rPr>
          <w:rFonts w:ascii="Barlow" w:cs="Barlow" w:eastAsia="Barlow" w:hAnsi="Barlow"/>
          <w:sz w:val="22"/>
          <w:szCs w:val="22"/>
        </w:rPr>
      </w:pPr>
      <w:r w:rsidDel="00000000" w:rsidR="00000000" w:rsidRPr="00000000">
        <w:rPr>
          <w:rFonts w:ascii="Barlow" w:cs="Barlow" w:eastAsia="Barlow" w:hAnsi="Barlow"/>
          <w:b w:val="1"/>
          <w:sz w:val="22"/>
          <w:szCs w:val="22"/>
          <w:rtl w:val="0"/>
        </w:rPr>
        <w:t xml:space="preserve">Se han perdido casi dos millones de puestos de trabajo </w:t>
      </w:r>
      <w:r w:rsidDel="00000000" w:rsidR="00000000" w:rsidRPr="00000000">
        <w:rPr>
          <w:rFonts w:ascii="Barlow" w:cs="Barlow" w:eastAsia="Barlow" w:hAnsi="Barlow"/>
          <w:sz w:val="22"/>
          <w:szCs w:val="22"/>
          <w:rtl w:val="0"/>
        </w:rPr>
        <w:t xml:space="preserve">en el sector agrario desde 1976</w:t>
      </w:r>
      <w:r w:rsidDel="00000000" w:rsidR="00000000" w:rsidRPr="00000000">
        <w:rPr>
          <w:rFonts w:ascii="Calibri" w:cs="Calibri" w:eastAsia="Calibri" w:hAnsi="Calibri"/>
          <w:sz w:val="22"/>
          <w:szCs w:val="22"/>
          <w:vertAlign w:val="superscript"/>
        </w:rPr>
        <w:footnoteReference w:customMarkFollows="0" w:id="1"/>
      </w:r>
      <w:r w:rsidDel="00000000" w:rsidR="00000000" w:rsidRPr="00000000">
        <w:rPr>
          <w:rFonts w:ascii="Barlow" w:cs="Barlow" w:eastAsia="Barlow" w:hAnsi="Barlow"/>
          <w:sz w:val="22"/>
          <w:szCs w:val="22"/>
          <w:rtl w:val="0"/>
        </w:rPr>
        <w:t xml:space="preserve"> y </w:t>
      </w:r>
      <w:r w:rsidDel="00000000" w:rsidR="00000000" w:rsidRPr="00000000">
        <w:rPr>
          <w:rFonts w:ascii="Barlow" w:cs="Barlow" w:eastAsia="Barlow" w:hAnsi="Barlow"/>
          <w:b w:val="1"/>
          <w:sz w:val="22"/>
          <w:szCs w:val="22"/>
          <w:rtl w:val="0"/>
        </w:rPr>
        <w:t xml:space="preserve">desaparecen un 10% de las explotaciones agrarias cada diez años</w:t>
      </w:r>
      <w:r w:rsidDel="00000000" w:rsidR="00000000" w:rsidRPr="00000000">
        <w:rPr>
          <w:rFonts w:ascii="Calibri" w:cs="Calibri" w:eastAsia="Calibri" w:hAnsi="Calibri"/>
          <w:sz w:val="22"/>
          <w:szCs w:val="22"/>
          <w:vertAlign w:val="superscript"/>
        </w:rPr>
        <w:footnoteReference w:customMarkFollows="0" w:id="2"/>
      </w:r>
      <w:r w:rsidDel="00000000" w:rsidR="00000000" w:rsidRPr="00000000">
        <w:rPr>
          <w:rFonts w:ascii="Barlow" w:cs="Barlow" w:eastAsia="Barlow" w:hAnsi="Barlow"/>
          <w:sz w:val="22"/>
          <w:szCs w:val="22"/>
          <w:rtl w:val="0"/>
        </w:rPr>
        <w:t xml:space="preserve">, incidiendo en la despoblación rural del interior peninsular.</w:t>
      </w:r>
    </w:p>
    <w:p w:rsidR="00000000" w:rsidDel="00000000" w:rsidP="00000000" w:rsidRDefault="00000000" w:rsidRPr="00000000" w14:paraId="00000007">
      <w:pPr>
        <w:widowControl w:val="0"/>
        <w:numPr>
          <w:ilvl w:val="0"/>
          <w:numId w:val="4"/>
        </w:numPr>
        <w:pBdr>
          <w:top w:space="0" w:sz="0" w:val="nil"/>
          <w:left w:space="0" w:sz="0" w:val="nil"/>
          <w:bottom w:space="0" w:sz="0" w:val="nil"/>
          <w:right w:space="0" w:sz="0" w:val="nil"/>
          <w:between w:space="0" w:sz="0" w:val="nil"/>
        </w:pBdr>
        <w:spacing w:before="0" w:line="229" w:lineRule="auto"/>
        <w:ind w:left="0" w:right="48" w:hanging="2"/>
        <w:jc w:val="left"/>
        <w:rPr>
          <w:rFonts w:ascii="Barlow" w:cs="Barlow" w:eastAsia="Barlow" w:hAnsi="Barlow"/>
          <w:sz w:val="22"/>
          <w:szCs w:val="22"/>
        </w:rPr>
      </w:pPr>
      <w:r w:rsidDel="00000000" w:rsidR="00000000" w:rsidRPr="00000000">
        <w:rPr>
          <w:rFonts w:ascii="Barlow" w:cs="Barlow" w:eastAsia="Barlow" w:hAnsi="Barlow"/>
          <w:b w:val="1"/>
          <w:color w:val="353334"/>
          <w:sz w:val="22"/>
          <w:szCs w:val="22"/>
          <w:rtl w:val="0"/>
        </w:rPr>
        <w:t xml:space="preserve">Cada vez hay mayor dependencia de la agricultura y ganadería de los insumos utilizados </w:t>
      </w:r>
      <w:r w:rsidDel="00000000" w:rsidR="00000000" w:rsidRPr="00000000">
        <w:rPr>
          <w:rFonts w:ascii="Barlow" w:cs="Barlow" w:eastAsia="Barlow" w:hAnsi="Barlow"/>
          <w:color w:val="353334"/>
          <w:sz w:val="22"/>
          <w:szCs w:val="22"/>
          <w:rtl w:val="0"/>
        </w:rPr>
        <w:t xml:space="preserve">(fertilizantes, fitosanitarios, semillas,  etc.) y un monopolio de facto en las ventas por parte de la industria agroalimentaria y la gran distribución.</w:t>
      </w:r>
      <w:r w:rsidDel="00000000" w:rsidR="00000000" w:rsidRPr="00000000">
        <w:rPr>
          <w:rtl w:val="0"/>
        </w:rPr>
      </w:r>
    </w:p>
    <w:p w:rsidR="00000000" w:rsidDel="00000000" w:rsidP="00000000" w:rsidRDefault="00000000" w:rsidRPr="00000000" w14:paraId="00000008">
      <w:pPr>
        <w:widowControl w:val="0"/>
        <w:numPr>
          <w:ilvl w:val="0"/>
          <w:numId w:val="4"/>
        </w:numPr>
        <w:pBdr>
          <w:top w:space="0" w:sz="0" w:val="nil"/>
          <w:left w:space="0" w:sz="0" w:val="nil"/>
          <w:bottom w:space="0" w:sz="0" w:val="nil"/>
          <w:right w:space="0" w:sz="0" w:val="nil"/>
          <w:between w:space="0" w:sz="0" w:val="nil"/>
        </w:pBdr>
        <w:spacing w:before="0" w:line="229" w:lineRule="auto"/>
        <w:ind w:left="0" w:right="48" w:hanging="2"/>
        <w:jc w:val="left"/>
        <w:rPr>
          <w:rFonts w:ascii="Barlow" w:cs="Barlow" w:eastAsia="Barlow" w:hAnsi="Barlow"/>
          <w:color w:val="353334"/>
          <w:sz w:val="22"/>
          <w:szCs w:val="22"/>
        </w:rPr>
      </w:pPr>
      <w:r w:rsidDel="00000000" w:rsidR="00000000" w:rsidRPr="00000000">
        <w:rPr>
          <w:rFonts w:ascii="Barlow" w:cs="Barlow" w:eastAsia="Barlow" w:hAnsi="Barlow"/>
          <w:color w:val="353334"/>
          <w:sz w:val="22"/>
          <w:szCs w:val="22"/>
          <w:rtl w:val="0"/>
        </w:rPr>
        <w:t xml:space="preserve">La producción y el consumo se han desvinculado entre sí, generando una </w:t>
      </w:r>
      <w:r w:rsidDel="00000000" w:rsidR="00000000" w:rsidRPr="00000000">
        <w:rPr>
          <w:rFonts w:ascii="Barlow" w:cs="Barlow" w:eastAsia="Barlow" w:hAnsi="Barlow"/>
          <w:b w:val="1"/>
          <w:color w:val="353334"/>
          <w:sz w:val="22"/>
          <w:szCs w:val="22"/>
          <w:rtl w:val="0"/>
        </w:rPr>
        <w:t xml:space="preserve">ruptura con los territorios rurales y su desarrollo económico</w:t>
      </w:r>
      <w:r w:rsidDel="00000000" w:rsidR="00000000" w:rsidRPr="00000000">
        <w:rPr>
          <w:rFonts w:ascii="Calibri" w:cs="Calibri" w:eastAsia="Calibri" w:hAnsi="Calibri"/>
          <w:sz w:val="22"/>
          <w:szCs w:val="22"/>
          <w:vertAlign w:val="superscript"/>
        </w:rPr>
        <w:footnoteReference w:customMarkFollows="0" w:id="3"/>
      </w:r>
      <w:r w:rsidDel="00000000" w:rsidR="00000000" w:rsidRPr="00000000">
        <w:rPr>
          <w:rFonts w:ascii="Barlow" w:cs="Barlow" w:eastAsia="Barlow" w:hAnsi="Barlow"/>
          <w:color w:val="353334"/>
          <w:sz w:val="22"/>
          <w:szCs w:val="22"/>
          <w:rtl w:val="0"/>
        </w:rPr>
        <w:t xml:space="preserve">.</w:t>
      </w:r>
    </w:p>
    <w:p w:rsidR="00000000" w:rsidDel="00000000" w:rsidP="00000000" w:rsidRDefault="00000000" w:rsidRPr="00000000" w14:paraId="00000009">
      <w:pPr>
        <w:widowControl w:val="0"/>
        <w:numPr>
          <w:ilvl w:val="0"/>
          <w:numId w:val="4"/>
        </w:numPr>
        <w:pBdr>
          <w:top w:space="0" w:sz="0" w:val="nil"/>
          <w:left w:space="0" w:sz="0" w:val="nil"/>
          <w:bottom w:space="0" w:sz="0" w:val="nil"/>
          <w:right w:space="0" w:sz="0" w:val="nil"/>
          <w:between w:space="0" w:sz="0" w:val="nil"/>
        </w:pBdr>
        <w:spacing w:before="0" w:line="229" w:lineRule="auto"/>
        <w:ind w:left="0" w:right="48" w:hanging="2"/>
        <w:jc w:val="left"/>
        <w:rPr>
          <w:rFonts w:ascii="Barlow" w:cs="Barlow" w:eastAsia="Barlow" w:hAnsi="Barlow"/>
          <w:color w:val="353334"/>
          <w:sz w:val="22"/>
          <w:szCs w:val="22"/>
        </w:rPr>
      </w:pPr>
      <w:r w:rsidDel="00000000" w:rsidR="00000000" w:rsidRPr="00000000">
        <w:rPr>
          <w:rFonts w:ascii="Barlow" w:cs="Barlow" w:eastAsia="Barlow" w:hAnsi="Barlow"/>
          <w:color w:val="353334"/>
          <w:sz w:val="22"/>
          <w:szCs w:val="22"/>
          <w:rtl w:val="0"/>
        </w:rPr>
        <w:t xml:space="preserve">Cada vez existen más </w:t>
      </w:r>
      <w:r w:rsidDel="00000000" w:rsidR="00000000" w:rsidRPr="00000000">
        <w:rPr>
          <w:rFonts w:ascii="Barlow" w:cs="Barlow" w:eastAsia="Barlow" w:hAnsi="Barlow"/>
          <w:b w:val="1"/>
          <w:color w:val="353334"/>
          <w:sz w:val="22"/>
          <w:szCs w:val="22"/>
          <w:rtl w:val="0"/>
        </w:rPr>
        <w:t xml:space="preserve">enfermedades crónicas y muertes prematuras vinculadas a la alimentación actual y falta de ejercicio físico. </w:t>
      </w:r>
      <w:r w:rsidDel="00000000" w:rsidR="00000000" w:rsidRPr="00000000">
        <w:rPr>
          <w:rFonts w:ascii="Barlow" w:cs="Barlow" w:eastAsia="Barlow" w:hAnsi="Barlow"/>
          <w:color w:val="353334"/>
          <w:sz w:val="22"/>
          <w:szCs w:val="22"/>
          <w:rtl w:val="0"/>
        </w:rPr>
        <w:t xml:space="preserve">La falta de acceso a productos frescos, sanos y sostenibles a un precio justo, especialmente entre las  personas más vulnerables, se hace cada vez más común</w:t>
      </w:r>
      <w:r w:rsidDel="00000000" w:rsidR="00000000" w:rsidRPr="00000000">
        <w:rPr>
          <w:rFonts w:ascii="Calibri" w:cs="Calibri" w:eastAsia="Calibri" w:hAnsi="Calibri"/>
          <w:sz w:val="22"/>
          <w:szCs w:val="22"/>
          <w:vertAlign w:val="superscript"/>
        </w:rPr>
        <w:footnoteReference w:customMarkFollows="0" w:id="4"/>
      </w:r>
      <w:r w:rsidDel="00000000" w:rsidR="00000000" w:rsidRPr="00000000">
        <w:rPr>
          <w:rFonts w:ascii="Barlow" w:cs="Barlow" w:eastAsia="Barlow" w:hAnsi="Barlow"/>
          <w:color w:val="353334"/>
          <w:sz w:val="22"/>
          <w:szCs w:val="22"/>
          <w:rtl w:val="0"/>
        </w:rPr>
        <w:t xml:space="preserve">. </w:t>
      </w:r>
    </w:p>
    <w:p w:rsidR="00000000" w:rsidDel="00000000" w:rsidP="00000000" w:rsidRDefault="00000000" w:rsidRPr="00000000" w14:paraId="0000000A">
      <w:pPr>
        <w:widowControl w:val="0"/>
        <w:numPr>
          <w:ilvl w:val="0"/>
          <w:numId w:val="4"/>
        </w:numPr>
        <w:pBdr>
          <w:top w:space="0" w:sz="0" w:val="nil"/>
          <w:left w:space="0" w:sz="0" w:val="nil"/>
          <w:bottom w:space="0" w:sz="0" w:val="nil"/>
          <w:right w:space="0" w:sz="0" w:val="nil"/>
          <w:between w:space="0" w:sz="0" w:val="nil"/>
        </w:pBdr>
        <w:spacing w:after="200" w:before="0" w:line="231" w:lineRule="auto"/>
        <w:ind w:left="0" w:right="43"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Los </w:t>
      </w:r>
      <w:r w:rsidDel="00000000" w:rsidR="00000000" w:rsidRPr="00000000">
        <w:rPr>
          <w:rFonts w:ascii="Barlow" w:cs="Barlow" w:eastAsia="Barlow" w:hAnsi="Barlow"/>
          <w:b w:val="1"/>
          <w:color w:val="353334"/>
          <w:sz w:val="22"/>
          <w:szCs w:val="22"/>
          <w:rtl w:val="0"/>
        </w:rPr>
        <w:t xml:space="preserve">sistemas alimentarios actuales son insostenibles</w:t>
      </w:r>
      <w:r w:rsidDel="00000000" w:rsidR="00000000" w:rsidRPr="00000000">
        <w:rPr>
          <w:rFonts w:ascii="Barlow" w:cs="Barlow" w:eastAsia="Barlow" w:hAnsi="Barlow"/>
          <w:b w:val="1"/>
          <w:color w:val="353334"/>
          <w:sz w:val="22"/>
          <w:szCs w:val="22"/>
          <w:vertAlign w:val="superscript"/>
          <w:rtl w:val="0"/>
        </w:rPr>
        <w:t xml:space="preserve">7</w:t>
      </w:r>
      <w:r w:rsidDel="00000000" w:rsidR="00000000" w:rsidRPr="00000000">
        <w:rPr>
          <w:rFonts w:ascii="Barlow" w:cs="Barlow" w:eastAsia="Barlow" w:hAnsi="Barlow"/>
          <w:color w:val="353334"/>
          <w:sz w:val="22"/>
          <w:szCs w:val="22"/>
          <w:rtl w:val="0"/>
        </w:rPr>
        <w:t xml:space="preserve">. La forma de producir los alimentos, elaborarlos,  almacenarlos, distribuirlos y consumirlos, emplea grandes cantidades de sustancias tóxicas y genera importantes residuos (f</w:t>
      </w:r>
      <w:r w:rsidDel="00000000" w:rsidR="00000000" w:rsidRPr="00000000">
        <w:rPr>
          <w:rFonts w:ascii="Barlow" w:cs="Barlow" w:eastAsia="Barlow" w:hAnsi="Barlow"/>
          <w:sz w:val="22"/>
          <w:szCs w:val="22"/>
          <w:rtl w:val="0"/>
        </w:rPr>
        <w:t xml:space="preserve">ertilizantes, pesticidas y purines</w:t>
      </w:r>
      <w:r w:rsidDel="00000000" w:rsidR="00000000" w:rsidRPr="00000000">
        <w:rPr>
          <w:rFonts w:ascii="Calibri" w:cs="Calibri" w:eastAsia="Calibri" w:hAnsi="Calibri"/>
          <w:sz w:val="22"/>
          <w:szCs w:val="22"/>
          <w:vertAlign w:val="superscript"/>
        </w:rPr>
        <w:footnoteReference w:customMarkFollows="0" w:id="5"/>
      </w:r>
      <w:r w:rsidDel="00000000" w:rsidR="00000000" w:rsidRPr="00000000">
        <w:rPr>
          <w:rFonts w:ascii="Barlow" w:cs="Barlow" w:eastAsia="Barlow" w:hAnsi="Barlow"/>
          <w:sz w:val="22"/>
          <w:szCs w:val="22"/>
          <w:rtl w:val="0"/>
        </w:rPr>
        <w:t xml:space="preserve">)</w:t>
      </w:r>
      <w:r w:rsidDel="00000000" w:rsidR="00000000" w:rsidRPr="00000000">
        <w:rPr>
          <w:rFonts w:ascii="Barlow" w:cs="Barlow" w:eastAsia="Barlow" w:hAnsi="Barlow"/>
          <w:color w:val="353334"/>
          <w:sz w:val="22"/>
          <w:szCs w:val="22"/>
          <w:rtl w:val="0"/>
        </w:rPr>
        <w:t xml:space="preserve">, desperdicia alimentos</w:t>
      </w:r>
      <w:r w:rsidDel="00000000" w:rsidR="00000000" w:rsidRPr="00000000">
        <w:rPr>
          <w:rFonts w:ascii="Calibri" w:cs="Calibri" w:eastAsia="Calibri" w:hAnsi="Calibri"/>
          <w:sz w:val="22"/>
          <w:szCs w:val="22"/>
          <w:vertAlign w:val="superscript"/>
        </w:rPr>
        <w:footnoteReference w:customMarkFollows="0" w:id="6"/>
      </w:r>
      <w:r w:rsidDel="00000000" w:rsidR="00000000" w:rsidRPr="00000000">
        <w:rPr>
          <w:rFonts w:ascii="Barlow" w:cs="Barlow" w:eastAsia="Barlow" w:hAnsi="Barlow"/>
          <w:color w:val="353334"/>
          <w:sz w:val="22"/>
          <w:szCs w:val="22"/>
          <w:rtl w:val="0"/>
        </w:rPr>
        <w:t xml:space="preserve">, está alterando el clima</w:t>
      </w:r>
      <w:r w:rsidDel="00000000" w:rsidR="00000000" w:rsidRPr="00000000">
        <w:rPr>
          <w:rFonts w:ascii="Calibri" w:cs="Calibri" w:eastAsia="Calibri" w:hAnsi="Calibri"/>
          <w:sz w:val="22"/>
          <w:szCs w:val="22"/>
          <w:vertAlign w:val="superscript"/>
        </w:rPr>
        <w:footnoteReference w:customMarkFollows="0" w:id="7"/>
      </w:r>
      <w:r w:rsidDel="00000000" w:rsidR="00000000" w:rsidRPr="00000000">
        <w:rPr>
          <w:rFonts w:ascii="Barlow" w:cs="Barlow" w:eastAsia="Barlow" w:hAnsi="Barlow"/>
          <w:color w:val="353334"/>
          <w:sz w:val="22"/>
          <w:szCs w:val="22"/>
          <w:rtl w:val="0"/>
        </w:rPr>
        <w:t xml:space="preserve">, ha transformado el suelo y el paisaje de  una forma sin precedentes y genera desertificación</w:t>
      </w:r>
      <w:r w:rsidDel="00000000" w:rsidR="00000000" w:rsidRPr="00000000">
        <w:rPr>
          <w:rFonts w:ascii="Calibri" w:cs="Calibri" w:eastAsia="Calibri" w:hAnsi="Calibri"/>
          <w:sz w:val="22"/>
          <w:szCs w:val="22"/>
          <w:vertAlign w:val="superscript"/>
        </w:rPr>
        <w:footnoteReference w:customMarkFollows="0" w:id="8"/>
      </w:r>
      <w:r w:rsidDel="00000000" w:rsidR="00000000" w:rsidRPr="00000000">
        <w:rPr>
          <w:rFonts w:ascii="Barlow" w:cs="Barlow" w:eastAsia="Barlow" w:hAnsi="Barlow"/>
          <w:color w:val="353334"/>
          <w:sz w:val="22"/>
          <w:szCs w:val="22"/>
          <w:rtl w:val="0"/>
        </w:rPr>
        <w:t xml:space="preserve"> , despilfarra el agua</w:t>
      </w:r>
      <w:r w:rsidDel="00000000" w:rsidR="00000000" w:rsidRPr="00000000">
        <w:rPr>
          <w:rFonts w:ascii="Barlow" w:cs="Barlow" w:eastAsia="Barlow" w:hAnsi="Barlow"/>
          <w:color w:val="353334"/>
          <w:sz w:val="22"/>
          <w:szCs w:val="22"/>
          <w:vertAlign w:val="superscript"/>
          <w:rtl w:val="0"/>
        </w:rPr>
        <w:t xml:space="preserve">10</w:t>
      </w:r>
      <w:r w:rsidDel="00000000" w:rsidR="00000000" w:rsidRPr="00000000">
        <w:rPr>
          <w:rFonts w:ascii="Barlow" w:cs="Barlow" w:eastAsia="Barlow" w:hAnsi="Barlow"/>
          <w:color w:val="353334"/>
          <w:sz w:val="22"/>
          <w:szCs w:val="22"/>
          <w:rtl w:val="0"/>
        </w:rPr>
        <w:t xml:space="preserve">, ha roto los ciclos biogeológicos y naturales de los ecosistemas y  está agotando los recursos naturales a una velocidad vertiginosa. El sector de la alimentación es la actividad de consumo que más impacto genera, siendo el 52,1% de la huella de consumo de nuestro Estado</w:t>
      </w:r>
      <w:r w:rsidDel="00000000" w:rsidR="00000000" w:rsidRPr="00000000">
        <w:rPr>
          <w:rFonts w:ascii="Barlow" w:cs="Barlow" w:eastAsia="Barlow" w:hAnsi="Barlow"/>
          <w:color w:val="353334"/>
          <w:sz w:val="22"/>
          <w:szCs w:val="22"/>
          <w:vertAlign w:val="superscript"/>
        </w:rPr>
        <w:footnoteReference w:customMarkFollows="0" w:id="9"/>
      </w:r>
      <w:r w:rsidDel="00000000" w:rsidR="00000000" w:rsidRPr="00000000">
        <w:rPr>
          <w:rFonts w:ascii="Barlow" w:cs="Barlow" w:eastAsia="Barlow" w:hAnsi="Barlow"/>
          <w:color w:val="353334"/>
          <w:sz w:val="22"/>
          <w:szCs w:val="22"/>
          <w:rtl w:val="0"/>
        </w:rPr>
        <w:t xml:space="preserve">.</w:t>
      </w:r>
      <w:r w:rsidDel="00000000" w:rsidR="00000000" w:rsidRPr="00000000">
        <w:rPr>
          <w:rtl w:val="0"/>
        </w:rPr>
      </w:r>
    </w:p>
    <w:p w:rsidR="00000000" w:rsidDel="00000000" w:rsidP="00000000" w:rsidRDefault="00000000" w:rsidRPr="00000000" w14:paraId="0000000B">
      <w:pPr>
        <w:ind w:left="0" w:hanging="2"/>
        <w:rPr>
          <w:rFonts w:ascii="Barlow" w:cs="Barlow" w:eastAsia="Barlow" w:hAnsi="Barlow"/>
          <w:sz w:val="22"/>
          <w:szCs w:val="22"/>
        </w:rPr>
      </w:pPr>
      <w:r w:rsidDel="00000000" w:rsidR="00000000" w:rsidRPr="00000000">
        <w:rPr>
          <w:rFonts w:ascii="Barlow" w:cs="Barlow" w:eastAsia="Barlow" w:hAnsi="Barlow"/>
          <w:sz w:val="22"/>
          <w:szCs w:val="22"/>
          <w:rtl w:val="0"/>
        </w:rPr>
        <w:t xml:space="preserve">La agrocoecología, como triple enfoque (ciencia, conjunto de prácticas y propuesta política) debe ser la base para la recuperación del equilibrio entre naturaleza y sociedad, minimizando los impactos negativos de la producción, transformación, distribución, consumo y desecho de alimentos e impulsando sistemas alimentarios locales y sostenibles.</w:t>
      </w:r>
    </w:p>
    <w:p w:rsidR="00000000" w:rsidDel="00000000" w:rsidP="00000000" w:rsidRDefault="00000000" w:rsidRPr="00000000" w14:paraId="0000000C">
      <w:pPr>
        <w:ind w:left="0" w:hanging="2"/>
        <w:rPr>
          <w:rFonts w:ascii="Barlow" w:cs="Barlow" w:eastAsia="Barlow" w:hAnsi="Barlow"/>
          <w:sz w:val="22"/>
          <w:szCs w:val="22"/>
        </w:rPr>
      </w:pPr>
      <w:r w:rsidDel="00000000" w:rsidR="00000000" w:rsidRPr="00000000">
        <w:rPr>
          <w:rFonts w:ascii="Barlow" w:cs="Barlow" w:eastAsia="Barlow" w:hAnsi="Barlow"/>
          <w:sz w:val="22"/>
          <w:szCs w:val="22"/>
          <w:rtl w:val="0"/>
        </w:rPr>
        <w:t xml:space="preserve">Esta visión está en consonancia con el creciente reconocimiento de la importancia de la alimentación y las políticas alimentarias locales en la agenda política internacional durante los últimos años en diferentes ámbitos y escalas como:</w:t>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hyperlink r:id="rId8">
        <w:r w:rsidDel="00000000" w:rsidR="00000000" w:rsidRPr="00000000">
          <w:rPr>
            <w:rFonts w:ascii="Barlow" w:cs="Barlow" w:eastAsia="Barlow" w:hAnsi="Barlow"/>
            <w:color w:val="1155cc"/>
            <w:sz w:val="22"/>
            <w:szCs w:val="22"/>
            <w:u w:val="single"/>
            <w:rtl w:val="0"/>
          </w:rPr>
          <w:t xml:space="preserve">La Carta de Aalborg </w:t>
        </w:r>
      </w:hyperlink>
      <w:r w:rsidDel="00000000" w:rsidR="00000000" w:rsidRPr="00000000">
        <w:rPr>
          <w:rFonts w:ascii="Barlow" w:cs="Barlow" w:eastAsia="Barlow" w:hAnsi="Barlow"/>
          <w:sz w:val="22"/>
          <w:szCs w:val="22"/>
          <w:rtl w:val="0"/>
        </w:rPr>
        <w:t xml:space="preserve">(1994)</w:t>
      </w:r>
    </w:p>
    <w:p w:rsidR="00000000" w:rsidDel="00000000" w:rsidP="00000000" w:rsidRDefault="00000000" w:rsidRPr="00000000" w14:paraId="0000000E">
      <w:pPr>
        <w:numPr>
          <w:ilvl w:val="0"/>
          <w:numId w:val="5"/>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hyperlink r:id="rId9">
        <w:r w:rsidDel="00000000" w:rsidR="00000000" w:rsidRPr="00000000">
          <w:rPr>
            <w:rFonts w:ascii="Barlow" w:cs="Barlow" w:eastAsia="Barlow" w:hAnsi="Barlow"/>
            <w:color w:val="1155cc"/>
            <w:sz w:val="22"/>
            <w:szCs w:val="22"/>
            <w:u w:val="single"/>
            <w:rtl w:val="0"/>
          </w:rPr>
          <w:t xml:space="preserve">Nueva Agenda</w:t>
        </w:r>
      </w:hyperlink>
      <w:r w:rsidDel="00000000" w:rsidR="00000000" w:rsidRPr="00000000">
        <w:rPr>
          <w:rFonts w:ascii="Barlow" w:cs="Barlow" w:eastAsia="Barlow" w:hAnsi="Barlow"/>
          <w:sz w:val="22"/>
          <w:szCs w:val="22"/>
          <w:rtl w:val="0"/>
        </w:rPr>
        <w:t xml:space="preserve"> </w:t>
      </w:r>
      <w:hyperlink r:id="rId10">
        <w:r w:rsidDel="00000000" w:rsidR="00000000" w:rsidRPr="00000000">
          <w:rPr>
            <w:rFonts w:ascii="Barlow" w:cs="Barlow" w:eastAsia="Barlow" w:hAnsi="Barlow"/>
            <w:color w:val="1155cc"/>
            <w:sz w:val="22"/>
            <w:szCs w:val="22"/>
            <w:u w:val="single"/>
            <w:rtl w:val="0"/>
          </w:rPr>
          <w:t xml:space="preserve">Urbana </w:t>
        </w:r>
      </w:hyperlink>
      <w:r w:rsidDel="00000000" w:rsidR="00000000" w:rsidRPr="00000000">
        <w:rPr>
          <w:rFonts w:ascii="Barlow" w:cs="Barlow" w:eastAsia="Barlow" w:hAnsi="Barlow"/>
          <w:sz w:val="22"/>
          <w:szCs w:val="22"/>
          <w:rtl w:val="0"/>
        </w:rPr>
        <w:t xml:space="preserve">(Cumbre Habitat III, Quito, 2016) </w:t>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El Dictamen del Comité Económico y Social Europeo sobre </w:t>
      </w:r>
      <w:hyperlink r:id="rId11">
        <w:r w:rsidDel="00000000" w:rsidR="00000000" w:rsidRPr="00000000">
          <w:rPr>
            <w:rFonts w:ascii="Barlow" w:cs="Barlow" w:eastAsia="Barlow" w:hAnsi="Barlow"/>
            <w:color w:val="1155cc"/>
            <w:sz w:val="22"/>
            <w:szCs w:val="22"/>
            <w:u w:val="single"/>
            <w:rtl w:val="0"/>
          </w:rPr>
          <w:t xml:space="preserve">«La agricultura periurbana» (2005/C 74/12)</w:t>
        </w:r>
      </w:hyperlink>
      <w:r w:rsidDel="00000000" w:rsidR="00000000" w:rsidRPr="00000000">
        <w:rPr>
          <w:rFonts w:ascii="Barlow" w:cs="Barlow" w:eastAsia="Barlow" w:hAnsi="Barlow"/>
          <w:sz w:val="22"/>
          <w:szCs w:val="22"/>
          <w:rtl w:val="0"/>
        </w:rPr>
        <w:t xml:space="preserve">; o la </w:t>
      </w:r>
      <w:hyperlink r:id="rId12">
        <w:r w:rsidDel="00000000" w:rsidR="00000000" w:rsidRPr="00000000">
          <w:rPr>
            <w:rFonts w:ascii="Barlow" w:cs="Barlow" w:eastAsia="Barlow" w:hAnsi="Barlow"/>
            <w:color w:val="1155cc"/>
            <w:sz w:val="22"/>
            <w:szCs w:val="22"/>
            <w:u w:val="single"/>
            <w:rtl w:val="0"/>
          </w:rPr>
          <w:t xml:space="preserve">Carta de Agricultura Periurbana</w:t>
        </w:r>
      </w:hyperlink>
      <w:r w:rsidDel="00000000" w:rsidR="00000000" w:rsidRPr="00000000">
        <w:rPr>
          <w:rFonts w:ascii="Barlow" w:cs="Barlow" w:eastAsia="Barlow" w:hAnsi="Barlow"/>
          <w:sz w:val="22"/>
          <w:szCs w:val="22"/>
          <w:rtl w:val="0"/>
        </w:rPr>
        <w:t xml:space="preserve"> (2010).</w:t>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La Agenda 2030, que recoge los</w:t>
      </w:r>
      <w:hyperlink r:id="rId13">
        <w:r w:rsidDel="00000000" w:rsidR="00000000" w:rsidRPr="00000000">
          <w:rPr>
            <w:rFonts w:ascii="Barlow" w:cs="Barlow" w:eastAsia="Barlow" w:hAnsi="Barlow"/>
            <w:color w:val="1155cc"/>
            <w:sz w:val="22"/>
            <w:szCs w:val="22"/>
            <w:u w:val="single"/>
            <w:rtl w:val="0"/>
          </w:rPr>
          <w:t xml:space="preserve"> Objetivos de Desarrollo Sostenible de Naciones Unidas</w:t>
        </w:r>
      </w:hyperlink>
      <w:r w:rsidDel="00000000" w:rsidR="00000000" w:rsidRPr="00000000">
        <w:rPr>
          <w:rFonts w:ascii="Barlow" w:cs="Barlow" w:eastAsia="Barlow" w:hAnsi="Barlow"/>
          <w:sz w:val="22"/>
          <w:szCs w:val="22"/>
          <w:rtl w:val="0"/>
        </w:rPr>
        <w:t xml:space="preserve"> firmada por el Gobierno de España en 2015</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El </w:t>
      </w:r>
      <w:hyperlink r:id="rId14">
        <w:r w:rsidDel="00000000" w:rsidR="00000000" w:rsidRPr="00000000">
          <w:rPr>
            <w:rFonts w:ascii="Barlow" w:cs="Barlow" w:eastAsia="Barlow" w:hAnsi="Barlow"/>
            <w:color w:val="1155cc"/>
            <w:sz w:val="22"/>
            <w:szCs w:val="22"/>
            <w:u w:val="single"/>
            <w:rtl w:val="0"/>
          </w:rPr>
          <w:t xml:space="preserve">Pacto de Política Alimentaria Urbana de Milán</w:t>
        </w:r>
      </w:hyperlink>
      <w:r w:rsidDel="00000000" w:rsidR="00000000" w:rsidRPr="00000000">
        <w:rPr>
          <w:rFonts w:ascii="Barlow" w:cs="Barlow" w:eastAsia="Barlow" w:hAnsi="Barlow"/>
          <w:sz w:val="22"/>
          <w:szCs w:val="22"/>
          <w:rtl w:val="0"/>
        </w:rPr>
        <w:t xml:space="preserve"> (2015)</w:t>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Las </w:t>
      </w:r>
      <w:hyperlink r:id="rId15">
        <w:r w:rsidDel="00000000" w:rsidR="00000000" w:rsidRPr="00000000">
          <w:rPr>
            <w:rFonts w:ascii="Barlow" w:cs="Barlow" w:eastAsia="Barlow" w:hAnsi="Barlow"/>
            <w:color w:val="1155cc"/>
            <w:sz w:val="22"/>
            <w:szCs w:val="22"/>
            <w:u w:val="single"/>
            <w:rtl w:val="0"/>
          </w:rPr>
          <w:t xml:space="preserve">Directrices Voluntarias para alcanzar el Derecho a una Alimentación adecuada</w:t>
        </w:r>
      </w:hyperlink>
      <w:r w:rsidDel="00000000" w:rsidR="00000000" w:rsidRPr="00000000">
        <w:rPr>
          <w:rFonts w:ascii="Barlow" w:cs="Barlow" w:eastAsia="Barlow" w:hAnsi="Barlow"/>
          <w:sz w:val="22"/>
          <w:szCs w:val="22"/>
          <w:rtl w:val="0"/>
        </w:rPr>
        <w:t xml:space="preserve"> (FAO, 2015)</w:t>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Los </w:t>
      </w:r>
      <w:hyperlink r:id="rId16">
        <w:r w:rsidDel="00000000" w:rsidR="00000000" w:rsidRPr="00000000">
          <w:rPr>
            <w:rFonts w:ascii="Barlow" w:cs="Barlow" w:eastAsia="Barlow" w:hAnsi="Barlow"/>
            <w:color w:val="1155cc"/>
            <w:sz w:val="22"/>
            <w:szCs w:val="22"/>
            <w:u w:val="single"/>
            <w:rtl w:val="0"/>
          </w:rPr>
          <w:t xml:space="preserve">Enfoques agroecológicos y otros enfoques innovadores en favor de la sostenibilidad de la agricultura y los sistemas alimentarios que mejoran</w:t>
        </w:r>
      </w:hyperlink>
      <w:hyperlink r:id="rId17">
        <w:r w:rsidDel="00000000" w:rsidR="00000000" w:rsidRPr="00000000">
          <w:rPr>
            <w:rFonts w:ascii="Barlow" w:cs="Barlow" w:eastAsia="Barlow" w:hAnsi="Barlow"/>
            <w:i w:val="1"/>
            <w:color w:val="1155cc"/>
            <w:sz w:val="22"/>
            <w:szCs w:val="22"/>
            <w:u w:val="single"/>
            <w:rtl w:val="0"/>
          </w:rPr>
          <w:t xml:space="preserve"> la seguridad alimentaria y la nutrición</w:t>
        </w:r>
      </w:hyperlink>
      <w:r w:rsidDel="00000000" w:rsidR="00000000" w:rsidRPr="00000000">
        <w:rPr>
          <w:rFonts w:ascii="Barlow" w:cs="Barlow" w:eastAsia="Barlow" w:hAnsi="Barlow"/>
          <w:sz w:val="22"/>
          <w:szCs w:val="22"/>
          <w:rtl w:val="0"/>
        </w:rPr>
        <w:t xml:space="preserve">. (Comité de Seguridad Alimentaria Mundial , 2019. </w:t>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after="200"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Las Estrategias ‘</w:t>
      </w:r>
      <w:hyperlink r:id="rId18">
        <w:r w:rsidDel="00000000" w:rsidR="00000000" w:rsidRPr="00000000">
          <w:rPr>
            <w:rFonts w:ascii="Barlow" w:cs="Barlow" w:eastAsia="Barlow" w:hAnsi="Barlow"/>
            <w:i w:val="1"/>
            <w:color w:val="1155cc"/>
            <w:sz w:val="22"/>
            <w:szCs w:val="22"/>
            <w:u w:val="single"/>
            <w:rtl w:val="0"/>
          </w:rPr>
          <w:t xml:space="preserve">de la granja a la mesa</w:t>
        </w:r>
      </w:hyperlink>
      <w:r w:rsidDel="00000000" w:rsidR="00000000" w:rsidRPr="00000000">
        <w:rPr>
          <w:rFonts w:ascii="Barlow" w:cs="Barlow" w:eastAsia="Barlow" w:hAnsi="Barlow"/>
          <w:sz w:val="22"/>
          <w:szCs w:val="22"/>
          <w:rtl w:val="0"/>
        </w:rPr>
        <w:t xml:space="preserve">’y </w:t>
      </w:r>
      <w:hyperlink r:id="rId19">
        <w:r w:rsidDel="00000000" w:rsidR="00000000" w:rsidRPr="00000000">
          <w:rPr>
            <w:rFonts w:ascii="Barlow" w:cs="Barlow" w:eastAsia="Barlow" w:hAnsi="Barlow"/>
            <w:color w:val="1155cc"/>
            <w:sz w:val="22"/>
            <w:szCs w:val="22"/>
            <w:u w:val="single"/>
            <w:rtl w:val="0"/>
          </w:rPr>
          <w:t xml:space="preserve">‘</w:t>
        </w:r>
      </w:hyperlink>
      <w:hyperlink r:id="rId20">
        <w:r w:rsidDel="00000000" w:rsidR="00000000" w:rsidRPr="00000000">
          <w:rPr>
            <w:rFonts w:ascii="Barlow" w:cs="Barlow" w:eastAsia="Barlow" w:hAnsi="Barlow"/>
            <w:i w:val="1"/>
            <w:color w:val="1155cc"/>
            <w:sz w:val="22"/>
            <w:szCs w:val="22"/>
            <w:u w:val="single"/>
            <w:rtl w:val="0"/>
          </w:rPr>
          <w:t xml:space="preserve">sobre biodiversidad para 2030</w:t>
        </w:r>
      </w:hyperlink>
      <w:r w:rsidDel="00000000" w:rsidR="00000000" w:rsidRPr="00000000">
        <w:rPr>
          <w:rFonts w:ascii="Barlow" w:cs="Barlow" w:eastAsia="Barlow" w:hAnsi="Barlow"/>
          <w:sz w:val="22"/>
          <w:szCs w:val="22"/>
          <w:rtl w:val="0"/>
        </w:rPr>
        <w:t xml:space="preserve">, presentadas por la Comisión Europea en 2020.</w:t>
      </w:r>
    </w:p>
    <w:p w:rsidR="00000000" w:rsidDel="00000000" w:rsidP="00000000" w:rsidRDefault="00000000" w:rsidRPr="00000000" w14:paraId="00000015">
      <w:pPr>
        <w:ind w:left="0" w:hanging="2"/>
        <w:rPr>
          <w:rFonts w:ascii="Barlow" w:cs="Barlow" w:eastAsia="Barlow" w:hAnsi="Barlow"/>
          <w:sz w:val="22"/>
          <w:szCs w:val="22"/>
        </w:rPr>
      </w:pPr>
      <w:r w:rsidDel="00000000" w:rsidR="00000000" w:rsidRPr="00000000">
        <w:rPr>
          <w:rFonts w:ascii="Barlow" w:cs="Barlow" w:eastAsia="Barlow" w:hAnsi="Barlow"/>
          <w:sz w:val="22"/>
          <w:szCs w:val="22"/>
          <w:rtl w:val="0"/>
        </w:rPr>
        <w:t xml:space="preserve">En el Estado español debemos resaltar la </w:t>
      </w:r>
      <w:hyperlink r:id="rId21">
        <w:r w:rsidDel="00000000" w:rsidR="00000000" w:rsidRPr="00000000">
          <w:rPr>
            <w:rFonts w:ascii="Barlow" w:cs="Barlow" w:eastAsia="Barlow" w:hAnsi="Barlow"/>
            <w:color w:val="215868"/>
            <w:sz w:val="22"/>
            <w:szCs w:val="22"/>
            <w:u w:val="single"/>
            <w:rtl w:val="0"/>
          </w:rPr>
          <w:t xml:space="preserve">Carta por una Soberanía Alimentaria</w:t>
        </w:r>
      </w:hyperlink>
      <w:r w:rsidDel="00000000" w:rsidR="00000000" w:rsidRPr="00000000">
        <w:rPr>
          <w:rFonts w:ascii="Barlow" w:cs="Barlow" w:eastAsia="Barlow" w:hAnsi="Barlow"/>
          <w:color w:val="215868"/>
          <w:sz w:val="22"/>
          <w:szCs w:val="22"/>
          <w:u w:val="single"/>
          <w:rtl w:val="0"/>
        </w:rPr>
        <w:t xml:space="preserve"> </w:t>
      </w:r>
      <w:hyperlink r:id="rId22">
        <w:r w:rsidDel="00000000" w:rsidR="00000000" w:rsidRPr="00000000">
          <w:rPr>
            <w:rFonts w:ascii="Barlow" w:cs="Barlow" w:eastAsia="Barlow" w:hAnsi="Barlow"/>
            <w:color w:val="215868"/>
            <w:sz w:val="22"/>
            <w:szCs w:val="22"/>
            <w:u w:val="single"/>
            <w:rtl w:val="0"/>
          </w:rPr>
          <w:t xml:space="preserve">desde nuestros municipios</w:t>
        </w:r>
      </w:hyperlink>
      <w:r w:rsidDel="00000000" w:rsidR="00000000" w:rsidRPr="00000000">
        <w:rPr>
          <w:rFonts w:ascii="Barlow" w:cs="Barlow" w:eastAsia="Barlow" w:hAnsi="Barlow"/>
          <w:color w:val="00007f"/>
          <w:sz w:val="22"/>
          <w:szCs w:val="22"/>
          <w:rtl w:val="0"/>
        </w:rPr>
        <w:t xml:space="preserve"> </w:t>
      </w:r>
      <w:r w:rsidDel="00000000" w:rsidR="00000000" w:rsidRPr="00000000">
        <w:rPr>
          <w:rFonts w:ascii="Barlow" w:cs="Barlow" w:eastAsia="Barlow" w:hAnsi="Barlow"/>
          <w:sz w:val="22"/>
          <w:szCs w:val="22"/>
          <w:rtl w:val="0"/>
        </w:rPr>
        <w:t xml:space="preserve">(2014) y el </w:t>
      </w:r>
      <w:hyperlink r:id="rId23">
        <w:r w:rsidDel="00000000" w:rsidR="00000000" w:rsidRPr="00000000">
          <w:rPr>
            <w:rFonts w:ascii="Barlow" w:cs="Barlow" w:eastAsia="Barlow" w:hAnsi="Barlow"/>
            <w:color w:val="215868"/>
            <w:sz w:val="22"/>
            <w:szCs w:val="22"/>
            <w:u w:val="single"/>
            <w:rtl w:val="0"/>
          </w:rPr>
          <w:t xml:space="preserve">Pacto Intervegas por la Soberanía Alimentaria, la Educación Ambiental y la Sostenibilidad del</w:t>
        </w:r>
      </w:hyperlink>
      <w:r w:rsidDel="00000000" w:rsidR="00000000" w:rsidRPr="00000000">
        <w:rPr>
          <w:rFonts w:ascii="Barlow" w:cs="Barlow" w:eastAsia="Barlow" w:hAnsi="Barlow"/>
          <w:color w:val="215868"/>
          <w:sz w:val="22"/>
          <w:szCs w:val="22"/>
          <w:u w:val="single"/>
          <w:rtl w:val="0"/>
        </w:rPr>
        <w:t xml:space="preserve"> </w:t>
      </w:r>
      <w:hyperlink r:id="rId24">
        <w:r w:rsidDel="00000000" w:rsidR="00000000" w:rsidRPr="00000000">
          <w:rPr>
            <w:rFonts w:ascii="Barlow" w:cs="Barlow" w:eastAsia="Barlow" w:hAnsi="Barlow"/>
            <w:color w:val="215868"/>
            <w:sz w:val="22"/>
            <w:szCs w:val="22"/>
            <w:u w:val="single"/>
            <w:rtl w:val="0"/>
          </w:rPr>
          <w:t xml:space="preserve">Territorio </w:t>
        </w:r>
      </w:hyperlink>
      <w:r w:rsidDel="00000000" w:rsidR="00000000" w:rsidRPr="00000000">
        <w:rPr>
          <w:rFonts w:ascii="Barlow" w:cs="Barlow" w:eastAsia="Barlow" w:hAnsi="Barlow"/>
          <w:sz w:val="22"/>
          <w:szCs w:val="22"/>
          <w:rtl w:val="0"/>
        </w:rPr>
        <w:t xml:space="preserve">(2015). </w:t>
      </w:r>
    </w:p>
    <w:p w:rsidR="00000000" w:rsidDel="00000000" w:rsidP="00000000" w:rsidRDefault="00000000" w:rsidRPr="00000000" w14:paraId="00000016">
      <w:pPr>
        <w:spacing w:before="0" w:lineRule="auto"/>
        <w:ind w:left="0" w:hanging="2"/>
        <w:rPr>
          <w:rFonts w:ascii="Barlow" w:cs="Barlow" w:eastAsia="Barlow" w:hAnsi="Barlow"/>
          <w:sz w:val="22"/>
          <w:szCs w:val="22"/>
        </w:rPr>
      </w:pPr>
      <w:r w:rsidDel="00000000" w:rsidR="00000000" w:rsidRPr="00000000">
        <w:rPr>
          <w:rtl w:val="0"/>
        </w:rPr>
      </w:r>
    </w:p>
    <w:p w:rsidR="00000000" w:rsidDel="00000000" w:rsidP="00000000" w:rsidRDefault="00000000" w:rsidRPr="00000000" w14:paraId="00000017">
      <w:pPr>
        <w:spacing w:before="0" w:lineRule="auto"/>
        <w:ind w:left="0" w:hanging="2"/>
        <w:rPr>
          <w:rFonts w:ascii="Barlow" w:cs="Barlow" w:eastAsia="Barlow" w:hAnsi="Barlow"/>
          <w:sz w:val="22"/>
          <w:szCs w:val="22"/>
        </w:rPr>
      </w:pPr>
      <w:bookmarkStart w:colFirst="0" w:colLast="0" w:name="_heading=h.30j0zll" w:id="1"/>
      <w:bookmarkEnd w:id="1"/>
      <w:r w:rsidDel="00000000" w:rsidR="00000000" w:rsidRPr="00000000">
        <w:rPr>
          <w:rFonts w:ascii="Barlow" w:cs="Barlow" w:eastAsia="Barlow" w:hAnsi="Barlow"/>
          <w:sz w:val="22"/>
          <w:szCs w:val="22"/>
          <w:rtl w:val="0"/>
        </w:rPr>
        <w:t xml:space="preserve">A pesar de la importancia de la alimentación, el Estado español y las CCAA no disponen de políticas alimentarias que permitan enfrentarse de forma holística a los retos del sistema agroalimentario y la alimentación del siglo XXI. Desde la Red de Municipios por la Agroecología entendemos como </w:t>
      </w:r>
      <w:r w:rsidDel="00000000" w:rsidR="00000000" w:rsidRPr="00000000">
        <w:rPr>
          <w:rFonts w:ascii="Barlow" w:cs="Barlow" w:eastAsia="Barlow" w:hAnsi="Barlow"/>
          <w:b w:val="1"/>
          <w:sz w:val="22"/>
          <w:szCs w:val="22"/>
          <w:rtl w:val="0"/>
        </w:rPr>
        <w:t xml:space="preserve">políticas alimentarias locales </w:t>
      </w:r>
      <w:r w:rsidDel="00000000" w:rsidR="00000000" w:rsidRPr="00000000">
        <w:rPr>
          <w:rFonts w:ascii="Barlow" w:cs="Barlow" w:eastAsia="Barlow" w:hAnsi="Barlow"/>
          <w:sz w:val="22"/>
          <w:szCs w:val="22"/>
          <w:rtl w:val="0"/>
        </w:rPr>
        <w:t xml:space="preserve">las acciones aisladas o agrupadas de las entidades locales para intervenir en los sistemas alimentarios, los ambientes alimentarios y las dietas de la población. </w:t>
      </w:r>
    </w:p>
    <w:p w:rsidR="00000000" w:rsidDel="00000000" w:rsidP="00000000" w:rsidRDefault="00000000" w:rsidRPr="00000000" w14:paraId="00000018">
      <w:pPr>
        <w:spacing w:before="0" w:lineRule="auto"/>
        <w:ind w:left="0" w:hanging="2"/>
        <w:rPr>
          <w:rFonts w:ascii="Barlow" w:cs="Barlow" w:eastAsia="Barlow" w:hAnsi="Barlow"/>
          <w:sz w:val="22"/>
          <w:szCs w:val="22"/>
        </w:rPr>
      </w:pPr>
      <w:r w:rsidDel="00000000" w:rsidR="00000000" w:rsidRPr="00000000">
        <w:rPr>
          <w:rtl w:val="0"/>
        </w:rPr>
      </w:r>
    </w:p>
    <w:p w:rsidR="00000000" w:rsidDel="00000000" w:rsidP="00000000" w:rsidRDefault="00000000" w:rsidRPr="00000000" w14:paraId="00000019">
      <w:pPr>
        <w:spacing w:before="0" w:lineRule="auto"/>
        <w:ind w:left="0" w:hanging="2"/>
        <w:rPr>
          <w:rFonts w:ascii="Barlow" w:cs="Barlow" w:eastAsia="Barlow" w:hAnsi="Barlow"/>
          <w:sz w:val="22"/>
          <w:szCs w:val="22"/>
        </w:rPr>
      </w:pPr>
      <w:r w:rsidDel="00000000" w:rsidR="00000000" w:rsidRPr="00000000">
        <w:rPr>
          <w:rFonts w:ascii="Barlow" w:cs="Barlow" w:eastAsia="Barlow" w:hAnsi="Barlow"/>
          <w:sz w:val="22"/>
          <w:szCs w:val="22"/>
          <w:rtl w:val="0"/>
        </w:rPr>
        <w:t xml:space="preserve">De esta forma, la Red de Municipios por la Agroecología es la entidad estatal que articula a las entidades locales y supramunicipales:</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Comprometidas con el derecho a la alimentación y la alimentación sostenible y saludable</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Que trabajan en políticas alimentarias locales sostenibles basadas en la agroecología y su visión holística y transformadora de los sistemas alimentarios.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Que quieren formar parte de un espacio plural, compuesto por todos los actores territoriales que promueven sistemas alimentarios locales adaptados a las diferentes realidades del estado, como son las entidades locales y supramunicipales, acompañadas por las organizaciones sociales y actores económicos y de investigación locales, entre otros.  </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200" w:before="0" w:line="276" w:lineRule="auto"/>
        <w:ind w:left="0" w:hanging="2"/>
        <w:jc w:val="left"/>
        <w:rPr>
          <w:rFonts w:ascii="Barlow" w:cs="Barlow" w:eastAsia="Barlow" w:hAnsi="Barlow"/>
          <w:sz w:val="22"/>
          <w:szCs w:val="22"/>
        </w:rPr>
      </w:pPr>
      <w:bookmarkStart w:colFirst="0" w:colLast="0" w:name="_heading=h.gjdgxs" w:id="2"/>
      <w:bookmarkEnd w:id="2"/>
      <w:r w:rsidDel="00000000" w:rsidR="00000000" w:rsidRPr="00000000">
        <w:rPr>
          <w:rFonts w:ascii="Barlow" w:cs="Barlow" w:eastAsia="Barlow" w:hAnsi="Barlow"/>
          <w:sz w:val="22"/>
          <w:szCs w:val="22"/>
          <w:rtl w:val="0"/>
        </w:rPr>
        <w:t xml:space="preserve">Que fomentan la cooperación y el intercambio de conocimiento para la innovación en políticas alimentarias y en la mejora de la gobernanza en los sistemas alimentarios locales. </w:t>
      </w:r>
    </w:p>
    <w:p w:rsidR="00000000" w:rsidDel="00000000" w:rsidP="00000000" w:rsidRDefault="00000000" w:rsidRPr="00000000" w14:paraId="0000001E">
      <w:pPr>
        <w:ind w:left="0" w:hanging="2"/>
        <w:rPr>
          <w:rFonts w:ascii="Barlow" w:cs="Barlow" w:eastAsia="Barlow" w:hAnsi="Barlow"/>
          <w:sz w:val="22"/>
          <w:szCs w:val="22"/>
        </w:rPr>
      </w:pPr>
      <w:r w:rsidDel="00000000" w:rsidR="00000000" w:rsidRPr="00000000">
        <w:rPr>
          <w:rFonts w:ascii="Barlow" w:cs="Barlow" w:eastAsia="Barlow" w:hAnsi="Barlow"/>
          <w:sz w:val="22"/>
          <w:szCs w:val="22"/>
          <w:rtl w:val="0"/>
        </w:rPr>
        <w:t xml:space="preserve">Con el presente manifiesto damos la bienvenida a todos aquellos municipios, agrupaciones de municipios, mancomunidades y diputaciones que compartan que fomenten los sistemas alimentarios locales, respetuosos con el medio ambiente, sostenibles, inclusivos, resilientes, seguros y diversificados que aseguren comida saludable, sostenible y accesible al conjunto de la población, y que potencien el empleo local, en línea con las perspectivas de la Agroecología y la Soberanía Alimentaria.</w:t>
      </w:r>
    </w:p>
    <w:p w:rsidR="00000000" w:rsidDel="00000000" w:rsidP="00000000" w:rsidRDefault="00000000" w:rsidRPr="00000000" w14:paraId="0000001F">
      <w:pPr>
        <w:ind w:left="0" w:hanging="2"/>
        <w:rPr>
          <w:rFonts w:ascii="Barlow" w:cs="Barlow" w:eastAsia="Barlow" w:hAnsi="Barlow"/>
          <w:sz w:val="22"/>
          <w:szCs w:val="22"/>
        </w:rPr>
      </w:pPr>
      <w:r w:rsidDel="00000000" w:rsidR="00000000" w:rsidRPr="00000000">
        <w:rPr>
          <w:rFonts w:ascii="Barlow" w:cs="Barlow" w:eastAsia="Barlow" w:hAnsi="Barlow"/>
          <w:sz w:val="22"/>
          <w:szCs w:val="22"/>
          <w:rtl w:val="0"/>
        </w:rPr>
        <w:t xml:space="preserve">Así,</w:t>
      </w:r>
      <w:r w:rsidDel="00000000" w:rsidR="00000000" w:rsidRPr="00000000">
        <w:rPr>
          <w:rFonts w:ascii="Barlow" w:cs="Barlow" w:eastAsia="Barlow" w:hAnsi="Barlow"/>
          <w:color w:val="215868"/>
          <w:sz w:val="22"/>
          <w:szCs w:val="22"/>
          <w:rtl w:val="0"/>
        </w:rPr>
        <w:t xml:space="preserve"> </w:t>
      </w:r>
      <w:r w:rsidDel="00000000" w:rsidR="00000000" w:rsidRPr="00000000">
        <w:rPr>
          <w:rFonts w:ascii="Barlow" w:cs="Barlow" w:eastAsia="Barlow" w:hAnsi="Barlow"/>
          <w:b w:val="1"/>
          <w:color w:val="215868"/>
          <w:sz w:val="22"/>
          <w:szCs w:val="22"/>
          <w:rtl w:val="0"/>
        </w:rPr>
        <w:t xml:space="preserve">los municipios firmantes se comprometen a</w:t>
      </w: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Poner en marcha planes de acción a través de medidas concretas y específicas </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Desarrollar herramientas adecuadas de seguimiento y evaluación de su cumplimiento</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before="0" w:line="276"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Construir un ideario que dé cohesión y proyección de futuro </w:t>
      </w:r>
    </w:p>
    <w:p w:rsidR="00000000" w:rsidDel="00000000" w:rsidP="00000000" w:rsidRDefault="00000000" w:rsidRPr="00000000" w14:paraId="00000023">
      <w:pPr>
        <w:ind w:left="0" w:hanging="2"/>
        <w:rPr>
          <w:rFonts w:ascii="Barlow" w:cs="Barlow" w:eastAsia="Barlow" w:hAnsi="Barlow"/>
          <w:sz w:val="22"/>
          <w:szCs w:val="22"/>
        </w:rPr>
      </w:pPr>
      <w:r w:rsidDel="00000000" w:rsidR="00000000" w:rsidRPr="00000000">
        <w:rPr>
          <w:rFonts w:ascii="Barlow" w:cs="Barlow" w:eastAsia="Barlow" w:hAnsi="Barlow"/>
          <w:sz w:val="22"/>
          <w:szCs w:val="22"/>
          <w:rtl w:val="0"/>
        </w:rPr>
        <w:t xml:space="preserve">Más concretamente, las acciones se llevarán a cabo en diferentes ámbitos:</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tl w:val="0"/>
        </w:rPr>
      </w:r>
    </w:p>
    <w:p w:rsidR="00000000" w:rsidDel="00000000" w:rsidP="00000000" w:rsidRDefault="00000000" w:rsidRPr="00000000" w14:paraId="00000025">
      <w:pPr>
        <w:widowControl w:val="0"/>
        <w:numPr>
          <w:ilvl w:val="0"/>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En la </w:t>
      </w:r>
      <w:r w:rsidDel="00000000" w:rsidR="00000000" w:rsidRPr="00000000">
        <w:rPr>
          <w:rFonts w:ascii="Barlow" w:cs="Barlow" w:eastAsia="Barlow" w:hAnsi="Barlow"/>
          <w:b w:val="1"/>
          <w:color w:val="215868"/>
          <w:sz w:val="22"/>
          <w:szCs w:val="22"/>
          <w:rtl w:val="0"/>
        </w:rPr>
        <w:t xml:space="preserve">esfera productiva y de gestión del territorio</w:t>
      </w:r>
      <w:r w:rsidDel="00000000" w:rsidR="00000000" w:rsidRPr="00000000">
        <w:rPr>
          <w:rtl w:val="0"/>
        </w:rPr>
      </w:r>
    </w:p>
    <w:p w:rsidR="00000000" w:rsidDel="00000000" w:rsidP="00000000" w:rsidRDefault="00000000" w:rsidRPr="00000000" w14:paraId="00000026">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Reconocer la agricultura periurbana y las relaciones equilibradas entre el medio rural y el medio urbano</w:t>
      </w:r>
    </w:p>
    <w:p w:rsidR="00000000" w:rsidDel="00000000" w:rsidP="00000000" w:rsidRDefault="00000000" w:rsidRPr="00000000" w14:paraId="00000027">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Reconocer la actividad profesional, ecológica y social de las personas productoras en los ámbitos social, económico, político y administrativo</w:t>
      </w:r>
    </w:p>
    <w:p w:rsidR="00000000" w:rsidDel="00000000" w:rsidP="00000000" w:rsidRDefault="00000000" w:rsidRPr="00000000" w14:paraId="00000028">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Preservar el suelo fértil y las buenas prácticas agronómicas y restaurar la capacidad productiva de los entornos urbanos y periurbanos</w:t>
      </w:r>
    </w:p>
    <w:p w:rsidR="00000000" w:rsidDel="00000000" w:rsidP="00000000" w:rsidRDefault="00000000" w:rsidRPr="00000000" w14:paraId="00000029">
      <w:pPr>
        <w:widowControl w:val="0"/>
        <w:numPr>
          <w:ilvl w:val="0"/>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En la </w:t>
      </w:r>
      <w:r w:rsidDel="00000000" w:rsidR="00000000" w:rsidRPr="00000000">
        <w:rPr>
          <w:rFonts w:ascii="Barlow" w:cs="Barlow" w:eastAsia="Barlow" w:hAnsi="Barlow"/>
          <w:b w:val="1"/>
          <w:color w:val="215868"/>
          <w:sz w:val="22"/>
          <w:szCs w:val="22"/>
          <w:rtl w:val="0"/>
        </w:rPr>
        <w:t xml:space="preserve">comercialización y consumo</w:t>
      </w:r>
      <w:r w:rsidDel="00000000" w:rsidR="00000000" w:rsidRPr="00000000">
        <w:rPr>
          <w:rtl w:val="0"/>
        </w:rPr>
      </w:r>
    </w:p>
    <w:p w:rsidR="00000000" w:rsidDel="00000000" w:rsidP="00000000" w:rsidRDefault="00000000" w:rsidRPr="00000000" w14:paraId="0000002A">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Impulsar una agricultura ecológica y de proximidad basada en circuitos cortos</w:t>
      </w:r>
    </w:p>
    <w:p w:rsidR="00000000" w:rsidDel="00000000" w:rsidP="00000000" w:rsidRDefault="00000000" w:rsidRPr="00000000" w14:paraId="0000002B">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Sensibilizar y valorar el trabajo agrícola, el consumo basado en la agroecología y el paisaje y patrimonio cultural agrarios</w:t>
      </w:r>
    </w:p>
    <w:p w:rsidR="00000000" w:rsidDel="00000000" w:rsidP="00000000" w:rsidRDefault="00000000" w:rsidRPr="00000000" w14:paraId="0000002C">
      <w:pPr>
        <w:widowControl w:val="0"/>
        <w:numPr>
          <w:ilvl w:val="0"/>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En el </w:t>
      </w:r>
      <w:r w:rsidDel="00000000" w:rsidR="00000000" w:rsidRPr="00000000">
        <w:rPr>
          <w:rFonts w:ascii="Barlow" w:cs="Barlow" w:eastAsia="Barlow" w:hAnsi="Barlow"/>
          <w:b w:val="1"/>
          <w:color w:val="215868"/>
          <w:sz w:val="22"/>
          <w:szCs w:val="22"/>
          <w:rtl w:val="0"/>
        </w:rPr>
        <w:t xml:space="preserve">ámbito de la administración pública local</w:t>
      </w:r>
      <w:r w:rsidDel="00000000" w:rsidR="00000000" w:rsidRPr="00000000">
        <w:rPr>
          <w:rtl w:val="0"/>
        </w:rPr>
      </w:r>
    </w:p>
    <w:p w:rsidR="00000000" w:rsidDel="00000000" w:rsidP="00000000" w:rsidRDefault="00000000" w:rsidRPr="00000000" w14:paraId="0000002D">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Fomentar la coordinación intramunicipal entre los distintos departamentos </w:t>
      </w:r>
    </w:p>
    <w:p w:rsidR="00000000" w:rsidDel="00000000" w:rsidP="00000000" w:rsidRDefault="00000000" w:rsidRPr="00000000" w14:paraId="0000002E">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Revisar y adaptar los recursos y normativas municipales</w:t>
      </w:r>
    </w:p>
    <w:p w:rsidR="00000000" w:rsidDel="00000000" w:rsidP="00000000" w:rsidRDefault="00000000" w:rsidRPr="00000000" w14:paraId="0000002F">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Promover procesos participativos multi-actor y multinivel</w:t>
      </w:r>
    </w:p>
    <w:p w:rsidR="00000000" w:rsidDel="00000000" w:rsidP="00000000" w:rsidRDefault="00000000" w:rsidRPr="00000000" w14:paraId="00000030">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Coproducir conocimiento y co-gestión de políticas públicas</w:t>
      </w:r>
    </w:p>
    <w:p w:rsidR="00000000" w:rsidDel="00000000" w:rsidP="00000000" w:rsidRDefault="00000000" w:rsidRPr="00000000" w14:paraId="00000031">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Conocer los avances realizados en políticas alimentarias locales</w:t>
      </w:r>
    </w:p>
    <w:p w:rsidR="00000000" w:rsidDel="00000000" w:rsidP="00000000" w:rsidRDefault="00000000" w:rsidRPr="00000000" w14:paraId="00000032">
      <w:pPr>
        <w:widowControl w:val="0"/>
        <w:numPr>
          <w:ilvl w:val="0"/>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A nivel de </w:t>
      </w:r>
      <w:r w:rsidDel="00000000" w:rsidR="00000000" w:rsidRPr="00000000">
        <w:rPr>
          <w:rFonts w:ascii="Barlow" w:cs="Barlow" w:eastAsia="Barlow" w:hAnsi="Barlow"/>
          <w:b w:val="1"/>
          <w:color w:val="215868"/>
          <w:sz w:val="22"/>
          <w:szCs w:val="22"/>
          <w:rtl w:val="0"/>
        </w:rPr>
        <w:t xml:space="preserve">Red</w:t>
      </w:r>
      <w:r w:rsidDel="00000000" w:rsidR="00000000" w:rsidRPr="00000000">
        <w:rPr>
          <w:rtl w:val="0"/>
        </w:rPr>
      </w:r>
    </w:p>
    <w:p w:rsidR="00000000" w:rsidDel="00000000" w:rsidP="00000000" w:rsidRDefault="00000000" w:rsidRPr="00000000" w14:paraId="00000033">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Estimular la cooperación intermunicipal y articular y extender las redes de municipios y compartir con otras municipios y redes análogas a nivel estatal e internacional</w:t>
      </w:r>
    </w:p>
    <w:p w:rsidR="00000000" w:rsidDel="00000000" w:rsidP="00000000" w:rsidRDefault="00000000" w:rsidRPr="00000000" w14:paraId="00000034">
      <w:pPr>
        <w:widowControl w:val="0"/>
        <w:numPr>
          <w:ilvl w:val="1"/>
          <w:numId w:val="3"/>
        </w:numPr>
        <w:pBdr>
          <w:top w:space="0" w:sz="0" w:val="nil"/>
          <w:left w:space="0" w:sz="0" w:val="nil"/>
          <w:bottom w:space="0" w:sz="0" w:val="nil"/>
          <w:right w:space="0" w:sz="0" w:val="nil"/>
          <w:between w:space="0" w:sz="0" w:val="nil"/>
        </w:pBdr>
        <w:spacing w:before="0" w:line="240" w:lineRule="auto"/>
        <w:ind w:left="0" w:hanging="2"/>
        <w:jc w:val="left"/>
        <w:rPr>
          <w:rFonts w:ascii="Barlow" w:cs="Barlow" w:eastAsia="Barlow" w:hAnsi="Barlow"/>
          <w:sz w:val="22"/>
          <w:szCs w:val="22"/>
        </w:rPr>
      </w:pPr>
      <w:r w:rsidDel="00000000" w:rsidR="00000000" w:rsidRPr="00000000">
        <w:rPr>
          <w:rFonts w:ascii="Barlow" w:cs="Barlow" w:eastAsia="Barlow" w:hAnsi="Barlow"/>
          <w:sz w:val="22"/>
          <w:szCs w:val="22"/>
          <w:rtl w:val="0"/>
        </w:rPr>
        <w:t xml:space="preserve">Fomentar la participación y comunicación con otros niveles de la administración pública del Estado y la Unión Europea.</w:t>
      </w:r>
    </w:p>
    <w:p w:rsidR="00000000" w:rsidDel="00000000" w:rsidP="00000000" w:rsidRDefault="00000000" w:rsidRPr="00000000" w14:paraId="00000035">
      <w:pPr>
        <w:ind w:left="0" w:hanging="2"/>
        <w:jc w:val="right"/>
        <w:rPr>
          <w:rFonts w:ascii="Barlow" w:cs="Barlow" w:eastAsia="Barlow" w:hAnsi="Barlow"/>
          <w:color w:val="215868"/>
          <w:sz w:val="22"/>
          <w:szCs w:val="22"/>
        </w:rPr>
      </w:pPr>
      <w:r w:rsidDel="00000000" w:rsidR="00000000" w:rsidRPr="00000000">
        <w:rPr>
          <w:rtl w:val="0"/>
        </w:rPr>
      </w:r>
    </w:p>
    <w:p w:rsidR="00000000" w:rsidDel="00000000" w:rsidP="00000000" w:rsidRDefault="00000000" w:rsidRPr="00000000" w14:paraId="00000036">
      <w:pPr>
        <w:ind w:left="0" w:hanging="2"/>
        <w:jc w:val="right"/>
        <w:rPr>
          <w:rFonts w:ascii="Barlow" w:cs="Barlow" w:eastAsia="Barlow" w:hAnsi="Barlow"/>
          <w:color w:val="215868"/>
          <w:sz w:val="22"/>
          <w:szCs w:val="22"/>
        </w:rPr>
      </w:pPr>
      <w:r w:rsidDel="00000000" w:rsidR="00000000" w:rsidRPr="00000000">
        <w:rPr>
          <w:rFonts w:ascii="Barlow" w:cs="Barlow" w:eastAsia="Barlow" w:hAnsi="Barlow"/>
          <w:color w:val="215868"/>
          <w:sz w:val="22"/>
          <w:szCs w:val="22"/>
          <w:rtl w:val="0"/>
        </w:rPr>
        <w:t xml:space="preserve"> Firma </w:t>
      </w:r>
      <w:r w:rsidDel="00000000" w:rsidR="00000000" w:rsidRPr="00000000">
        <w:rPr>
          <w:rFonts w:ascii="Barlow" w:cs="Barlow" w:eastAsia="Barlow" w:hAnsi="Barlow"/>
          <w:i w:val="1"/>
          <w:color w:val="215868"/>
          <w:sz w:val="22"/>
          <w:szCs w:val="22"/>
          <w:rtl w:val="0"/>
        </w:rPr>
        <w:t xml:space="preserve">(Nombre del representante autorizado del municipio,  gobierno local, mancomunidad, agrupación de municipios o diputación) </w:t>
      </w:r>
      <w:r w:rsidDel="00000000" w:rsidR="00000000" w:rsidRPr="00000000">
        <w:rPr>
          <w:rtl w:val="0"/>
        </w:rPr>
      </w:r>
    </w:p>
    <w:p w:rsidR="00000000" w:rsidDel="00000000" w:rsidP="00000000" w:rsidRDefault="00000000" w:rsidRPr="00000000" w14:paraId="00000037">
      <w:pPr>
        <w:ind w:left="0" w:hanging="2"/>
        <w:jc w:val="right"/>
        <w:rPr>
          <w:rFonts w:ascii="Barlow" w:cs="Barlow" w:eastAsia="Barlow" w:hAnsi="Barlow"/>
          <w:i w:val="1"/>
          <w:color w:val="215868"/>
          <w:sz w:val="22"/>
          <w:szCs w:val="22"/>
        </w:rPr>
      </w:pPr>
      <w:r w:rsidDel="00000000" w:rsidR="00000000" w:rsidRPr="00000000">
        <w:rPr>
          <w:rFonts w:ascii="Barlow" w:cs="Barlow" w:eastAsia="Barlow" w:hAnsi="Barlow"/>
          <w:color w:val="215868"/>
          <w:sz w:val="22"/>
          <w:szCs w:val="22"/>
          <w:rtl w:val="0"/>
        </w:rPr>
        <w:t xml:space="preserve">En representación de </w:t>
      </w:r>
      <w:r w:rsidDel="00000000" w:rsidR="00000000" w:rsidRPr="00000000">
        <w:rPr>
          <w:rFonts w:ascii="Barlow" w:cs="Barlow" w:eastAsia="Barlow" w:hAnsi="Barlow"/>
          <w:i w:val="1"/>
          <w:color w:val="215868"/>
          <w:sz w:val="22"/>
          <w:szCs w:val="22"/>
          <w:rtl w:val="0"/>
        </w:rPr>
        <w:t xml:space="preserve">(nombre de la entidad  local) </w:t>
      </w:r>
    </w:p>
    <w:p w:rsidR="00000000" w:rsidDel="00000000" w:rsidP="00000000" w:rsidRDefault="00000000" w:rsidRPr="00000000" w14:paraId="00000038">
      <w:pPr>
        <w:ind w:left="0" w:hanging="2"/>
        <w:jc w:val="right"/>
        <w:rPr>
          <w:rFonts w:ascii="Barlow" w:cs="Barlow" w:eastAsia="Barlow" w:hAnsi="Barlow"/>
          <w:sz w:val="22"/>
          <w:szCs w:val="22"/>
        </w:rPr>
      </w:pPr>
      <w:r w:rsidDel="00000000" w:rsidR="00000000" w:rsidRPr="00000000">
        <w:rPr>
          <w:rFonts w:ascii="Barlow" w:cs="Barlow" w:eastAsia="Barlow" w:hAnsi="Barlow"/>
          <w:color w:val="215868"/>
          <w:sz w:val="22"/>
          <w:szCs w:val="22"/>
          <w:rtl w:val="0"/>
        </w:rPr>
        <w:t xml:space="preserve">Fecha y lugar</w:t>
      </w:r>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6838" w:w="11906" w:orient="portrait"/>
      <w:pgMar w:bottom="1701" w:top="2268" w:left="1701" w:right="1701"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Geo">
    <w:embedRegular w:fontKey="{00000000-0000-0000-0000-000000000000}" r:id="rId1" w:subsetted="0"/>
    <w:embedItalic w:fontKey="{00000000-0000-0000-0000-000000000000}" r:id="rId2" w:subsetted="0"/>
  </w:font>
  <w:font w:name="Source Sans Pro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arlow">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Barlow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Barlow Black">
    <w:embedBold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pos="4252"/>
        <w:tab w:val="right" w:pos="8504"/>
      </w:tabs>
      <w:spacing w:line="240" w:lineRule="auto"/>
      <w:ind w:left="0" w:hanging="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ind w:left="0" w:hanging="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pos="4252"/>
        <w:tab w:val="right" w:pos="8504"/>
      </w:tabs>
      <w:spacing w:line="240" w:lineRule="auto"/>
      <w:ind w:left="0" w:hanging="2"/>
      <w:jc w:val="right"/>
      <w:rPr>
        <w:rFonts w:ascii="Geo" w:cs="Geo" w:eastAsia="Geo" w:hAnsi="Geo"/>
        <w:color w:val="215868"/>
      </w:rPr>
    </w:pPr>
    <w:r w:rsidDel="00000000" w:rsidR="00000000" w:rsidRPr="00000000">
      <w:rPr>
        <w:rFonts w:ascii="Geo" w:cs="Geo" w:eastAsia="Geo" w:hAnsi="Geo"/>
        <w:color w:val="215868"/>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39">
      <w:pPr>
        <w:ind w:left="0" w:hanging="2"/>
        <w:rPr>
          <w:rFonts w:ascii="Barlow" w:cs="Barlow" w:eastAsia="Barlow" w:hAnsi="Barlow"/>
          <w:sz w:val="16"/>
          <w:szCs w:val="16"/>
        </w:rPr>
      </w:pPr>
      <w:bookmarkStart w:colFirst="0" w:colLast="0" w:name="_heading=h.mza69bzd4hku" w:id="3"/>
      <w:bookmarkEnd w:id="3"/>
      <w:r w:rsidDel="00000000" w:rsidR="00000000" w:rsidRPr="00000000">
        <w:rPr>
          <w:rStyle w:val="FootnoteReference"/>
          <w:vertAlign w:val="superscript"/>
        </w:rPr>
        <w:footnoteRef/>
      </w:r>
      <w:r w:rsidDel="00000000" w:rsidR="00000000" w:rsidRPr="00000000">
        <w:rPr>
          <w:rFonts w:ascii="Barlow" w:cs="Barlow" w:eastAsia="Barlow" w:hAnsi="Barlow"/>
          <w:sz w:val="16"/>
          <w:szCs w:val="16"/>
          <w:rtl w:val="0"/>
        </w:rPr>
        <w:t xml:space="preserve"> INE, 2019. Encuesta de población activa. Madrid: INE</w:t>
      </w:r>
    </w:p>
  </w:footnote>
  <w:footnote w:id="2">
    <w:p w:rsidR="00000000" w:rsidDel="00000000" w:rsidP="00000000" w:rsidRDefault="00000000" w:rsidRPr="00000000" w14:paraId="0000003A">
      <w:pPr>
        <w:ind w:left="0" w:hanging="2"/>
        <w:rPr/>
      </w:pPr>
      <w:bookmarkStart w:colFirst="0" w:colLast="0" w:name="_heading=h.ik0ahytzh89d" w:id="4"/>
      <w:bookmarkEnd w:id="4"/>
      <w:r w:rsidDel="00000000" w:rsidR="00000000" w:rsidRPr="00000000">
        <w:rPr>
          <w:rStyle w:val="FootnoteReference"/>
          <w:vertAlign w:val="superscript"/>
        </w:rPr>
        <w:footnoteRef/>
      </w:r>
      <w:r w:rsidDel="00000000" w:rsidR="00000000" w:rsidRPr="00000000">
        <w:rPr>
          <w:rFonts w:ascii="Barlow" w:cs="Barlow" w:eastAsia="Barlow" w:hAnsi="Barlow"/>
          <w:sz w:val="16"/>
          <w:szCs w:val="16"/>
          <w:rtl w:val="0"/>
        </w:rPr>
        <w:t xml:space="preserve"> INE, 2019. Estructura de las explotaciones agrarias. Madrid: INE.</w:t>
      </w:r>
      <w:r w:rsidDel="00000000" w:rsidR="00000000" w:rsidRPr="00000000">
        <w:rPr>
          <w:rtl w:val="0"/>
        </w:rPr>
      </w:r>
    </w:p>
  </w:footnote>
  <w:footnote w:id="4">
    <w:p w:rsidR="00000000" w:rsidDel="00000000" w:rsidP="00000000" w:rsidRDefault="00000000" w:rsidRPr="00000000" w14:paraId="0000003B">
      <w:pPr>
        <w:ind w:left="0" w:hanging="2"/>
        <w:rPr>
          <w:rFonts w:ascii="Barlow" w:cs="Barlow" w:eastAsia="Barlow" w:hAnsi="Barlow"/>
          <w:sz w:val="16"/>
          <w:szCs w:val="16"/>
        </w:rPr>
      </w:pPr>
      <w:r w:rsidDel="00000000" w:rsidR="00000000" w:rsidRPr="00000000">
        <w:rPr>
          <w:rStyle w:val="FootnoteReference"/>
          <w:vertAlign w:val="superscript"/>
        </w:rPr>
        <w:footnoteRef/>
      </w:r>
      <w:r w:rsidDel="00000000" w:rsidR="00000000" w:rsidRPr="00000000">
        <w:rPr>
          <w:rFonts w:ascii="Barlow" w:cs="Barlow" w:eastAsia="Barlow" w:hAnsi="Barlow"/>
          <w:sz w:val="16"/>
          <w:szCs w:val="16"/>
          <w:rtl w:val="0"/>
        </w:rPr>
        <w:t xml:space="preserve"> En términos de salud, y siempre según la OMS, la alimentación, ya sea por dieta inadecuada o por la ingesta de tóxicos, se vincula con un 70% de las muertes por enfermedades crónicas no transmisibles, incluida una cuarta parte de las formas de cáncer. Esta organización también ha publicado informes acerca de los graves impactos sanitarios de los pesticidas y de la epidemia de sobrepeso y obesidad que hoy aqueja a más de 2.000 millones de personas, y que se ceba especialmente en las mujeres. Las enfermedades crónicas, a menudo relacionadas con la dieta, suponen hasta el 80% del gasto sanitario anual en Europa, del que apenas se destina un 3% a la prevención. </w:t>
      </w:r>
    </w:p>
  </w:footnote>
  <w:footnote w:id="5">
    <w:p w:rsidR="00000000" w:rsidDel="00000000" w:rsidP="00000000" w:rsidRDefault="00000000" w:rsidRPr="00000000" w14:paraId="0000003C">
      <w:pPr>
        <w:ind w:left="0" w:hanging="2"/>
        <w:rPr>
          <w:rFonts w:ascii="Barlow" w:cs="Barlow" w:eastAsia="Barlow" w:hAnsi="Barlow"/>
          <w:sz w:val="16"/>
          <w:szCs w:val="16"/>
        </w:rPr>
      </w:pPr>
      <w:bookmarkStart w:colFirst="0" w:colLast="0" w:name="_heading=h.n1lo3mdojs8z" w:id="5"/>
      <w:bookmarkEnd w:id="5"/>
      <w:r w:rsidDel="00000000" w:rsidR="00000000" w:rsidRPr="00000000">
        <w:rPr>
          <w:rStyle w:val="FootnoteReference"/>
          <w:vertAlign w:val="superscript"/>
        </w:rPr>
        <w:footnoteRef/>
      </w:r>
      <w:r w:rsidDel="00000000" w:rsidR="00000000" w:rsidRPr="00000000">
        <w:rPr>
          <w:rFonts w:ascii="Barlow" w:cs="Barlow" w:eastAsia="Barlow" w:hAnsi="Barlow"/>
          <w:sz w:val="16"/>
          <w:szCs w:val="16"/>
          <w:rtl w:val="0"/>
        </w:rPr>
        <w:t xml:space="preserve"> Carricondo, Ana y C. Peiteado, 2010. ¿Quien contamina cobra? Relación entre la Política Agraria Común y el medio ambiente en España. Madrid: SEO-Birdlife y WWF-España.</w:t>
      </w:r>
    </w:p>
  </w:footnote>
  <w:footnote w:id="6">
    <w:p w:rsidR="00000000" w:rsidDel="00000000" w:rsidP="00000000" w:rsidRDefault="00000000" w:rsidRPr="00000000" w14:paraId="0000003D">
      <w:pPr>
        <w:ind w:left="0" w:hanging="2"/>
        <w:rPr>
          <w:rFonts w:ascii="Barlow" w:cs="Barlow" w:eastAsia="Barlow" w:hAnsi="Barlow"/>
          <w:sz w:val="16"/>
          <w:szCs w:val="16"/>
        </w:rPr>
      </w:pPr>
      <w:r w:rsidDel="00000000" w:rsidR="00000000" w:rsidRPr="00000000">
        <w:rPr>
          <w:rStyle w:val="FootnoteReference"/>
          <w:vertAlign w:val="superscript"/>
        </w:rPr>
        <w:footnoteRef/>
      </w:r>
      <w:r w:rsidDel="00000000" w:rsidR="00000000" w:rsidRPr="00000000">
        <w:rPr>
          <w:rFonts w:ascii="Barlow" w:cs="Barlow" w:eastAsia="Barlow" w:hAnsi="Barlow"/>
          <w:sz w:val="16"/>
          <w:szCs w:val="16"/>
          <w:rtl w:val="0"/>
        </w:rPr>
        <w:t xml:space="preserve"> Más de un tercio de los alimentos que se producen son desechados a lo largo de la cadena alimentaria</w:t>
      </w:r>
    </w:p>
  </w:footnote>
  <w:footnote w:id="7">
    <w:p w:rsidR="00000000" w:rsidDel="00000000" w:rsidP="00000000" w:rsidRDefault="00000000" w:rsidRPr="00000000" w14:paraId="0000003E">
      <w:pPr>
        <w:ind w:left="0" w:hanging="2"/>
        <w:rPr>
          <w:rFonts w:ascii="Barlow" w:cs="Barlow" w:eastAsia="Barlow" w:hAnsi="Barlow"/>
          <w:sz w:val="16"/>
          <w:szCs w:val="16"/>
        </w:rPr>
      </w:pPr>
      <w:bookmarkStart w:colFirst="0" w:colLast="0" w:name="_heading=h.8u5n5zz3x4pc" w:id="6"/>
      <w:bookmarkEnd w:id="6"/>
      <w:r w:rsidDel="00000000" w:rsidR="00000000" w:rsidRPr="00000000">
        <w:rPr>
          <w:rStyle w:val="FootnoteReference"/>
          <w:vertAlign w:val="superscript"/>
        </w:rPr>
        <w:footnoteRef/>
      </w:r>
      <w:r w:rsidDel="00000000" w:rsidR="00000000" w:rsidRPr="00000000">
        <w:rPr>
          <w:rFonts w:ascii="Barlow" w:cs="Barlow" w:eastAsia="Barlow" w:hAnsi="Barlow"/>
          <w:sz w:val="16"/>
          <w:szCs w:val="16"/>
          <w:rtl w:val="0"/>
        </w:rPr>
        <w:t xml:space="preserve"> El sistema alimentario es responsable de un 30% de las emisiones globales de gases de efecto invernadero, que incluye una parte importante relacionada con deforestación para el cultivo de cereales y proteaginosas destinados a la ganadería intensiva  </w:t>
      </w:r>
      <w:hyperlink r:id="rId1">
        <w:r w:rsidDel="00000000" w:rsidR="00000000" w:rsidRPr="00000000">
          <w:rPr>
            <w:rFonts w:ascii="Barlow" w:cs="Barlow" w:eastAsia="Barlow" w:hAnsi="Barlow"/>
            <w:color w:val="0000ff"/>
            <w:sz w:val="16"/>
            <w:szCs w:val="16"/>
            <w:u w:val="single"/>
            <w:rtl w:val="0"/>
          </w:rPr>
          <w:t xml:space="preserve">http://www.fao.org/food-loss-and-food-waste/es/</w:t>
        </w:r>
      </w:hyperlink>
      <w:r w:rsidDel="00000000" w:rsidR="00000000" w:rsidRPr="00000000">
        <w:rPr>
          <w:rtl w:val="0"/>
        </w:rPr>
      </w:r>
    </w:p>
  </w:footnote>
  <w:footnote w:id="8">
    <w:p w:rsidR="00000000" w:rsidDel="00000000" w:rsidP="00000000" w:rsidRDefault="00000000" w:rsidRPr="00000000" w14:paraId="0000003F">
      <w:pPr>
        <w:ind w:left="0" w:hanging="2"/>
        <w:rPr/>
      </w:pPr>
      <w:r w:rsidDel="00000000" w:rsidR="00000000" w:rsidRPr="00000000">
        <w:rPr>
          <w:rStyle w:val="FootnoteReference"/>
          <w:vertAlign w:val="superscript"/>
        </w:rPr>
        <w:footnoteRef/>
      </w:r>
      <w:r w:rsidDel="00000000" w:rsidR="00000000" w:rsidRPr="00000000">
        <w:rPr>
          <w:rFonts w:ascii="Barlow" w:cs="Barlow" w:eastAsia="Barlow" w:hAnsi="Barlow"/>
          <w:sz w:val="16"/>
          <w:szCs w:val="16"/>
          <w:rtl w:val="0"/>
        </w:rPr>
        <w:t xml:space="preserve">  El hecho de que hasta un 65% de la superficie española se encuentra en riesgo alto o muy alto de desertificación, con una alarmante pérdida de capacidad productiva y de la biodiversidad silvestre y cultivada asociadas.</w:t>
      </w:r>
      <w:r w:rsidDel="00000000" w:rsidR="00000000" w:rsidRPr="00000000">
        <w:rPr>
          <w:rtl w:val="0"/>
        </w:rPr>
      </w:r>
    </w:p>
  </w:footnote>
  <w:footnote w:id="9">
    <w:p w:rsidR="00000000" w:rsidDel="00000000" w:rsidP="00000000" w:rsidRDefault="00000000" w:rsidRPr="00000000" w14:paraId="00000040">
      <w:pPr>
        <w:spacing w:before="0" w:lineRule="auto"/>
        <w:ind w:left="0" w:hanging="2"/>
        <w:rPr>
          <w:rFonts w:ascii="Barlow" w:cs="Barlow" w:eastAsia="Barlow" w:hAnsi="Barlow"/>
          <w:b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Barlow Light" w:cs="Barlow Light" w:eastAsia="Barlow Light" w:hAnsi="Barlow Light"/>
            <w:color w:val="1155cc"/>
            <w:sz w:val="18"/>
            <w:szCs w:val="18"/>
            <w:u w:val="single"/>
            <w:rtl w:val="0"/>
          </w:rPr>
          <w:t xml:space="preserve">Sostenibilidad del Consumo en España</w:t>
        </w:r>
      </w:hyperlink>
      <w:r w:rsidDel="00000000" w:rsidR="00000000" w:rsidRPr="00000000">
        <w:rPr>
          <w:rtl w:val="0"/>
        </w:rPr>
      </w:r>
    </w:p>
  </w:footnote>
  <w:footnote w:id="3">
    <w:p w:rsidR="00000000" w:rsidDel="00000000" w:rsidP="00000000" w:rsidRDefault="00000000" w:rsidRPr="00000000" w14:paraId="00000047">
      <w:pPr>
        <w:spacing w:before="0" w:lineRule="auto"/>
        <w:ind w:hanging="2"/>
        <w:rPr>
          <w:rFonts w:ascii="Barlow Light" w:cs="Barlow Light" w:eastAsia="Barlow Light" w:hAnsi="Barlow Light"/>
          <w:sz w:val="20"/>
          <w:szCs w:val="20"/>
          <w:vertAlign w:val="superscript"/>
        </w:rPr>
      </w:pPr>
      <w:r w:rsidDel="00000000" w:rsidR="00000000" w:rsidRPr="00000000">
        <w:rPr>
          <w:rStyle w:val="FootnoteReference"/>
          <w:vertAlign w:val="superscript"/>
        </w:rPr>
        <w:footnoteRef/>
      </w:r>
      <w:r w:rsidDel="00000000" w:rsidR="00000000" w:rsidRPr="00000000">
        <w:rPr>
          <w:rFonts w:ascii="Barlow Light" w:cs="Barlow Light" w:eastAsia="Barlow Light" w:hAnsi="Barlow Light"/>
          <w:sz w:val="20"/>
          <w:szCs w:val="20"/>
          <w:vertAlign w:val="superscript"/>
          <w:rtl w:val="0"/>
        </w:rPr>
        <w:t xml:space="preserve"> </w:t>
      </w:r>
      <w:r w:rsidDel="00000000" w:rsidR="00000000" w:rsidRPr="00000000">
        <w:rPr>
          <w:rFonts w:ascii="Barlow" w:cs="Barlow" w:eastAsia="Barlow" w:hAnsi="Barlow"/>
          <w:color w:val="1155cc"/>
          <w:sz w:val="16"/>
          <w:szCs w:val="16"/>
          <w:u w:val="single"/>
          <w:rtl w:val="0"/>
        </w:rPr>
        <w:t xml:space="preserve">Consejo Económico y Social. “El medio rural y su vertebración social y territorial.” Colección informes, n.º1. Madrid: Consejo Económico </w:t>
      </w:r>
      <w:r w:rsidDel="00000000" w:rsidR="00000000" w:rsidRPr="00000000">
        <w:rPr>
          <w:rFonts w:ascii="Barlow" w:cs="Barlow" w:eastAsia="Barlow" w:hAnsi="Barlow"/>
          <w:color w:val="1155cc"/>
          <w:sz w:val="16"/>
          <w:szCs w:val="16"/>
          <w:rtl w:val="0"/>
        </w:rPr>
        <w:t xml:space="preserve"> </w:t>
      </w:r>
      <w:r w:rsidDel="00000000" w:rsidR="00000000" w:rsidRPr="00000000">
        <w:rPr>
          <w:rFonts w:ascii="Barlow" w:cs="Barlow" w:eastAsia="Barlow" w:hAnsi="Barlow"/>
          <w:color w:val="1155cc"/>
          <w:sz w:val="16"/>
          <w:szCs w:val="16"/>
          <w:u w:val="single"/>
          <w:rtl w:val="0"/>
        </w:rPr>
        <w:t xml:space="preserve">y Social, 2018</w:t>
      </w:r>
      <w:r w:rsidDel="00000000" w:rsidR="00000000" w:rsidRPr="00000000">
        <w:rPr>
          <w:rFonts w:ascii="Barlow" w:cs="Barlow" w:eastAsia="Barlow" w:hAnsi="Barlow"/>
          <w:color w:val="1155cc"/>
          <w:sz w:val="16"/>
          <w:szCs w:val="16"/>
          <w:rtl w:val="0"/>
        </w:rPr>
        <w:t xml:space="preserve"> </w:t>
      </w:r>
      <w:r w:rsidDel="00000000" w:rsidR="00000000" w:rsidRPr="00000000">
        <w:rPr>
          <w:rtl w:val="0"/>
        </w:rPr>
      </w:r>
    </w:p>
  </w:footnote>
  <w:footnote w:id="0">
    <w:p w:rsidR="00000000" w:rsidDel="00000000" w:rsidP="00000000" w:rsidRDefault="00000000" w:rsidRPr="00000000" w14:paraId="00000048">
      <w:pPr>
        <w:spacing w:before="0" w:lineRule="auto"/>
        <w:ind w:hanging="2"/>
        <w:rPr>
          <w:sz w:val="20"/>
          <w:szCs w:val="20"/>
        </w:rPr>
      </w:pPr>
      <w:r w:rsidDel="00000000" w:rsidR="00000000" w:rsidRPr="00000000">
        <w:rPr>
          <w:rStyle w:val="FootnoteReference"/>
          <w:vertAlign w:val="superscript"/>
        </w:rPr>
        <w:footnoteRef/>
      </w:r>
      <w:r w:rsidDel="00000000" w:rsidR="00000000" w:rsidRPr="00000000">
        <w:rPr>
          <w:rFonts w:ascii="Barlow" w:cs="Barlow" w:eastAsia="Barlow" w:hAnsi="Barlow"/>
          <w:sz w:val="23"/>
          <w:szCs w:val="23"/>
          <w:vertAlign w:val="superscript"/>
          <w:rtl w:val="0"/>
        </w:rPr>
        <w:t xml:space="preserve"> </w:t>
      </w:r>
      <w:r w:rsidDel="00000000" w:rsidR="00000000" w:rsidRPr="00000000">
        <w:rPr>
          <w:rFonts w:ascii="Barlow" w:cs="Barlow" w:eastAsia="Barlow" w:hAnsi="Barlow"/>
          <w:sz w:val="16"/>
          <w:szCs w:val="16"/>
          <w:rtl w:val="0"/>
        </w:rPr>
        <w:t xml:space="preserve">En términos reales -12,46%. 23.042,43 € en 2020 vs 26.323,90 € en 2003. </w:t>
      </w:r>
      <w:r w:rsidDel="00000000" w:rsidR="00000000" w:rsidRPr="00000000">
        <w:rPr>
          <w:rFonts w:ascii="Barlow" w:cs="Barlow" w:eastAsia="Barlow" w:hAnsi="Barlow"/>
          <w:color w:val="1155cc"/>
          <w:sz w:val="16"/>
          <w:szCs w:val="16"/>
          <w:u w:val="single"/>
          <w:rtl w:val="0"/>
        </w:rPr>
        <w:t xml:space="preserve">MAPA,2021</w:t>
      </w:r>
      <w:r w:rsidDel="00000000" w:rsidR="00000000" w:rsidRPr="00000000">
        <w:rPr>
          <w:rFonts w:ascii="Barlow" w:cs="Barlow" w:eastAsia="Barlow" w:hAnsi="Barlow"/>
          <w:color w:val="1155cc"/>
          <w:sz w:val="16"/>
          <w:szCs w:val="16"/>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pos="4252"/>
        <w:tab w:val="right" w:pos="8504"/>
      </w:tabs>
      <w:spacing w:line="240" w:lineRule="auto"/>
      <w:ind w:left="0" w:hanging="2"/>
      <w:jc w:val="right"/>
      <w:rPr/>
    </w:pPr>
    <w:r w:rsidDel="00000000" w:rsidR="00000000" w:rsidRPr="00000000">
      <w:rPr>
        <w:rFonts w:ascii="Barlow Black" w:cs="Barlow Black" w:eastAsia="Barlow Black" w:hAnsi="Barlow Black"/>
        <w:color w:val="215868"/>
        <w:sz w:val="34"/>
        <w:szCs w:val="34"/>
      </w:rPr>
      <w:drawing>
        <wp:inline distB="0" distT="0" distL="0" distR="0">
          <wp:extent cx="5392420" cy="544830"/>
          <wp:effectExtent b="0" l="0" r="0" t="0"/>
          <wp:docPr id="104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392420" cy="5448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-1155699</wp:posOffset>
              </wp:positionH>
              <wp:positionV relativeFrom="paragraph">
                <wp:posOffset>-457199</wp:posOffset>
              </wp:positionV>
              <wp:extent cx="350520" cy="10753725"/>
              <wp:effectExtent b="0" l="0" r="0" t="0"/>
              <wp:wrapNone/>
              <wp:docPr id="1047" name=""/>
              <a:graphic>
                <a:graphicData uri="http://schemas.microsoft.com/office/word/2010/wordprocessingShape">
                  <wps:wsp>
                    <wps:cNvSpPr/>
                    <wps:cNvPr id="2" name="Shape 2"/>
                    <wps:spPr>
                      <a:xfrm>
                        <a:off x="5199315" y="0"/>
                        <a:ext cx="293370" cy="7560000"/>
                      </a:xfrm>
                      <a:prstGeom prst="rect">
                        <a:avLst/>
                      </a:prstGeom>
                      <a:solidFill>
                        <a:srgbClr val="205867"/>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-1155699</wp:posOffset>
              </wp:positionH>
              <wp:positionV relativeFrom="paragraph">
                <wp:posOffset>-457199</wp:posOffset>
              </wp:positionV>
              <wp:extent cx="350520" cy="10753725"/>
              <wp:effectExtent b="0" l="0" r="0" t="0"/>
              <wp:wrapNone/>
              <wp:docPr id="1047"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350520" cy="1075372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252"/>
        <w:tab w:val="right" w:pos="8504"/>
      </w:tabs>
      <w:spacing w:line="240" w:lineRule="auto"/>
      <w:ind w:left="0" w:hanging="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ind w:left="0" w:hanging="2"/>
      <w:rPr/>
    </w:pPr>
    <w:r w:rsidDel="00000000" w:rsidR="00000000" w:rsidRPr="00000000">
      <w:rPr>
        <w:rFonts w:ascii="Barlow Black" w:cs="Barlow Black" w:eastAsia="Barlow Black" w:hAnsi="Barlow Black"/>
        <w:color w:val="215868"/>
        <w:sz w:val="34"/>
        <w:szCs w:val="34"/>
      </w:rPr>
      <w:drawing>
        <wp:inline distB="0" distT="0" distL="0" distR="0">
          <wp:extent cx="5392420" cy="544830"/>
          <wp:effectExtent b="0" l="0" r="0" t="0"/>
          <wp:docPr id="105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392420" cy="5448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-1130299</wp:posOffset>
              </wp:positionH>
              <wp:positionV relativeFrom="paragraph">
                <wp:posOffset>-457199</wp:posOffset>
              </wp:positionV>
              <wp:extent cx="350520" cy="10753725"/>
              <wp:effectExtent b="0" l="0" r="0" t="0"/>
              <wp:wrapNone/>
              <wp:docPr id="1048" name=""/>
              <a:graphic>
                <a:graphicData uri="http://schemas.microsoft.com/office/word/2010/wordprocessingShape">
                  <wps:wsp>
                    <wps:cNvSpPr/>
                    <wps:cNvPr id="3" name="Shape 3"/>
                    <wps:spPr>
                      <a:xfrm>
                        <a:off x="5199315" y="0"/>
                        <a:ext cx="293370" cy="7560000"/>
                      </a:xfrm>
                      <a:prstGeom prst="rect">
                        <a:avLst/>
                      </a:prstGeom>
                      <a:solidFill>
                        <a:srgbClr val="205867"/>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-1130299</wp:posOffset>
              </wp:positionH>
              <wp:positionV relativeFrom="paragraph">
                <wp:posOffset>-457199</wp:posOffset>
              </wp:positionV>
              <wp:extent cx="350520" cy="10753725"/>
              <wp:effectExtent b="0" l="0" r="0" t="0"/>
              <wp:wrapNone/>
              <wp:docPr id="104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50520" cy="1075372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8" w:hanging="360"/>
      </w:pPr>
      <w:rPr>
        <w:rFonts w:ascii="Noto Sans" w:cs="Noto Sans" w:eastAsia="Noto Sans" w:hAnsi="Noto San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w:cs="Noto Sans" w:eastAsia="Noto Sans" w:hAnsi="Noto Sans"/>
      </w:rPr>
    </w:lvl>
    <w:lvl w:ilvl="3">
      <w:start w:val="1"/>
      <w:numFmt w:val="bullet"/>
      <w:lvlText w:val="●"/>
      <w:lvlJc w:val="left"/>
      <w:pPr>
        <w:ind w:left="2878" w:hanging="360"/>
      </w:pPr>
      <w:rPr>
        <w:rFonts w:ascii="Noto Sans" w:cs="Noto Sans" w:eastAsia="Noto Sans" w:hAnsi="Noto San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w:cs="Noto Sans" w:eastAsia="Noto Sans" w:hAnsi="Noto Sans"/>
      </w:rPr>
    </w:lvl>
    <w:lvl w:ilvl="6">
      <w:start w:val="1"/>
      <w:numFmt w:val="bullet"/>
      <w:lvlText w:val="●"/>
      <w:lvlJc w:val="left"/>
      <w:pPr>
        <w:ind w:left="5038" w:hanging="360"/>
      </w:pPr>
      <w:rPr>
        <w:rFonts w:ascii="Noto Sans" w:cs="Noto Sans" w:eastAsia="Noto Sans" w:hAnsi="Noto San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18" w:hanging="360"/>
      </w:pPr>
      <w:rPr>
        <w:rFonts w:ascii="Noto Sans" w:cs="Noto Sans" w:eastAsia="Noto Sans" w:hAnsi="Noto San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w:cs="Noto Sans" w:eastAsia="Noto Sans" w:hAnsi="Noto Sans"/>
      </w:rPr>
    </w:lvl>
    <w:lvl w:ilvl="3">
      <w:start w:val="1"/>
      <w:numFmt w:val="bullet"/>
      <w:lvlText w:val="●"/>
      <w:lvlJc w:val="left"/>
      <w:pPr>
        <w:ind w:left="2878" w:hanging="360"/>
      </w:pPr>
      <w:rPr>
        <w:rFonts w:ascii="Noto Sans" w:cs="Noto Sans" w:eastAsia="Noto Sans" w:hAnsi="Noto San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w:cs="Noto Sans" w:eastAsia="Noto Sans" w:hAnsi="Noto Sans"/>
      </w:rPr>
    </w:lvl>
    <w:lvl w:ilvl="6">
      <w:start w:val="1"/>
      <w:numFmt w:val="bullet"/>
      <w:lvlText w:val="●"/>
      <w:lvlJc w:val="left"/>
      <w:pPr>
        <w:ind w:left="5038" w:hanging="360"/>
      </w:pPr>
      <w:rPr>
        <w:rFonts w:ascii="Noto Sans" w:cs="Noto Sans" w:eastAsia="Noto Sans" w:hAnsi="Noto San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w:cs="Noto Sans" w:eastAsia="Noto Sans" w:hAnsi="Noto Sans"/>
      </w:rPr>
    </w:lvl>
  </w:abstractNum>
  <w:abstractNum w:abstractNumId="5">
    <w:lvl w:ilvl="0">
      <w:start w:val="1"/>
      <w:numFmt w:val="bullet"/>
      <w:lvlText w:val="●"/>
      <w:lvlJc w:val="left"/>
      <w:pPr>
        <w:ind w:left="718" w:hanging="360"/>
      </w:pPr>
      <w:rPr>
        <w:rFonts w:ascii="Noto Sans" w:cs="Noto Sans" w:eastAsia="Noto Sans" w:hAnsi="Noto San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w:cs="Noto Sans" w:eastAsia="Noto Sans" w:hAnsi="Noto Sans"/>
      </w:rPr>
    </w:lvl>
    <w:lvl w:ilvl="3">
      <w:start w:val="1"/>
      <w:numFmt w:val="bullet"/>
      <w:lvlText w:val="●"/>
      <w:lvlJc w:val="left"/>
      <w:pPr>
        <w:ind w:left="2878" w:hanging="360"/>
      </w:pPr>
      <w:rPr>
        <w:rFonts w:ascii="Noto Sans" w:cs="Noto Sans" w:eastAsia="Noto Sans" w:hAnsi="Noto San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w:cs="Noto Sans" w:eastAsia="Noto Sans" w:hAnsi="Noto Sans"/>
      </w:rPr>
    </w:lvl>
    <w:lvl w:ilvl="6">
      <w:start w:val="1"/>
      <w:numFmt w:val="bullet"/>
      <w:lvlText w:val="●"/>
      <w:lvlJc w:val="left"/>
      <w:pPr>
        <w:ind w:left="5038" w:hanging="360"/>
      </w:pPr>
      <w:rPr>
        <w:rFonts w:ascii="Noto Sans" w:cs="Noto Sans" w:eastAsia="Noto Sans" w:hAnsi="Noto San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Light" w:cs="Source Sans Pro Light" w:eastAsia="Source Sans Pro Light" w:hAnsi="Source Sans Pro Light"/>
        <w:sz w:val="24"/>
        <w:szCs w:val="24"/>
        <w:lang w:val="es-ES"/>
      </w:rPr>
    </w:rPrDefault>
    <w:pPrDefault>
      <w:pPr>
        <w:spacing w:before="170"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0" w:line="240" w:lineRule="auto"/>
    </w:pPr>
    <w:rPr>
      <w:rFonts w:ascii="Geo" w:cs="Geo" w:eastAsia="Geo" w:hAnsi="Geo"/>
      <w:color w:val="215868"/>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line="1" w:lineRule="atLeast"/>
      <w:ind w:left="-1" w:leftChars="-1" w:hangingChars="1"/>
      <w:textDirection w:val="btLr"/>
      <w:textAlignment w:val="top"/>
      <w:outlineLvl w:val="0"/>
    </w:pPr>
    <w:rPr>
      <w:rFonts w:cs="Liberation Serif" w:eastAsia="Calibri"/>
      <w:color w:val="000000"/>
      <w:kern w:val="2"/>
      <w:position w:val="-1"/>
      <w:lang w:eastAsia="en-US"/>
    </w:rPr>
  </w:style>
  <w:style w:type="paragraph" w:styleId="Ttulo1">
    <w:name w:val="heading 1"/>
    <w:basedOn w:val="Normal"/>
    <w:next w:val="Normal"/>
    <w:uiPriority w:val="9"/>
    <w:qFormat w:val="1"/>
    <w:pPr>
      <w:spacing w:before="60" w:line="240" w:lineRule="auto"/>
    </w:pPr>
    <w:rPr>
      <w:rFonts w:ascii="Geometr706 BlkCn BT" w:hAnsi="Geometr706 BlkCn BT"/>
      <w:bCs w:val="1"/>
      <w:color w:val="215868"/>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Ttulo10" w:customStyle="1">
    <w:name w:val="Título1"/>
    <w:basedOn w:val="Normal"/>
    <w:next w:val="Textoindependiente"/>
    <w:pPr>
      <w:keepNext w:val="1"/>
      <w:spacing w:after="120" w:before="240"/>
    </w:pPr>
    <w:rPr>
      <w:rFonts w:ascii="Liberation Sans" w:cs="Arial" w:eastAsia="Microsoft YaHei" w:hAnsi="Liberation Sans"/>
      <w:sz w:val="28"/>
      <w:szCs w:val="28"/>
    </w:rPr>
  </w:style>
  <w:style w:type="paragraph" w:styleId="Textoindependiente">
    <w:name w:val="Body Text"/>
    <w:basedOn w:val="Normal"/>
    <w:pPr>
      <w:spacing w:after="140" w:before="0" w:line="276" w:lineRule="auto"/>
    </w:pPr>
  </w:style>
  <w:style w:type="paragraph" w:styleId="Lista">
    <w:name w:val="List"/>
    <w:basedOn w:val="Textoindependiente"/>
    <w:rPr>
      <w:rFonts w:cs="Arial"/>
    </w:rPr>
  </w:style>
  <w:style w:type="paragraph" w:styleId="Epgrafe" w:customStyle="1">
    <w:name w:val="Epígrafe"/>
    <w:basedOn w:val="Normal"/>
    <w:pPr>
      <w:suppressLineNumbers w:val="1"/>
      <w:spacing w:after="120" w:before="120"/>
    </w:pPr>
    <w:rPr>
      <w:rFonts w:cs="Arial"/>
      <w:i w:val="1"/>
      <w:iCs w:val="1"/>
    </w:rPr>
  </w:style>
  <w:style w:type="paragraph" w:styleId="ndice" w:customStyle="1">
    <w:name w:val="Índice"/>
    <w:basedOn w:val="Normal"/>
    <w:pPr>
      <w:suppressLineNumbers w:val="1"/>
    </w:pPr>
    <w:rPr>
      <w:rFonts w:cs="Arial"/>
    </w:rPr>
  </w:style>
  <w:style w:type="paragraph" w:styleId="DocumentMap" w:customStyle="1">
    <w:name w:val="DocumentMap"/>
    <w:pPr>
      <w:spacing w:after="200" w:line="276" w:lineRule="auto"/>
      <w:ind w:left="-1" w:leftChars="-1" w:hangingChars="1"/>
      <w:textDirection w:val="btLr"/>
      <w:textAlignment w:val="top"/>
      <w:outlineLvl w:val="0"/>
    </w:pPr>
    <w:rPr>
      <w:rFonts w:ascii="Calibri" w:eastAsia="Calibri" w:hAnsi="Calibri"/>
      <w:kern w:val="2"/>
      <w:position w:val="-1"/>
      <w:sz w:val="22"/>
      <w:szCs w:val="22"/>
      <w:lang w:eastAsia="en-US"/>
    </w:rPr>
  </w:style>
  <w:style w:type="paragraph" w:styleId="ydpd85ff122yiv4297764819msonormal" w:customStyle="1">
    <w:name w:val="ydpd85ff122yiv4297764819msonormal"/>
    <w:basedOn w:val="Normal"/>
    <w:pPr>
      <w:spacing w:after="100" w:before="100"/>
      <w:jc w:val="left"/>
      <w:textAlignment w:val="auto"/>
    </w:pPr>
    <w:rPr>
      <w:rFonts w:cs="Times New Roman"/>
      <w:lang w:eastAsia="es-ES"/>
    </w:rPr>
  </w:style>
  <w:style w:type="paragraph" w:styleId="Prrafodelista">
    <w:name w:val="List Paragraph"/>
    <w:basedOn w:val="Normal"/>
    <w:pPr>
      <w:spacing w:after="200" w:before="0" w:line="276" w:lineRule="auto"/>
      <w:ind w:left="720" w:firstLine="0"/>
      <w:contextualSpacing w:val="1"/>
      <w:jc w:val="left"/>
      <w:textAlignment w:val="auto"/>
    </w:pPr>
    <w:rPr>
      <w:rFonts w:ascii="Calibri" w:cs="Times New Roman" w:hAnsi="Calibri"/>
      <w:sz w:val="22"/>
      <w:szCs w:val="22"/>
    </w:rPr>
  </w:style>
  <w:style w:type="paragraph" w:styleId="Encabezado">
    <w:name w:val="header"/>
    <w:basedOn w:val="Normal"/>
    <w:qFormat w:val="1"/>
    <w:pPr>
      <w:tabs>
        <w:tab w:val="center" w:pos="4252"/>
        <w:tab w:val="right" w:pos="8504"/>
      </w:tabs>
    </w:pPr>
  </w:style>
  <w:style w:type="character" w:styleId="EncabezadoCar" w:customStyle="1">
    <w:name w:val="Encabezado Car"/>
    <w:rPr>
      <w:rFonts w:ascii="Calibri" w:eastAsia="Calibri" w:hAnsi="Calibri"/>
      <w:w w:val="100"/>
      <w:kern w:val="2"/>
      <w:position w:val="-1"/>
      <w:sz w:val="22"/>
      <w:szCs w:val="22"/>
      <w:effect w:val="none"/>
      <w:vertAlign w:val="baseline"/>
      <w:cs w:val="0"/>
      <w:em w:val="none"/>
      <w:lang w:eastAsia="en-US"/>
    </w:rPr>
  </w:style>
  <w:style w:type="paragraph" w:styleId="Piedepgina">
    <w:name w:val="footer"/>
    <w:basedOn w:val="Normal"/>
    <w:qFormat w:val="1"/>
    <w:pPr>
      <w:tabs>
        <w:tab w:val="center" w:pos="4252"/>
        <w:tab w:val="right" w:pos="8504"/>
      </w:tabs>
    </w:pPr>
  </w:style>
  <w:style w:type="character" w:styleId="PiedepginaCar" w:customStyle="1">
    <w:name w:val="Pie de página Car"/>
    <w:rPr>
      <w:rFonts w:ascii="Calibri" w:eastAsia="Calibri" w:hAnsi="Calibri"/>
      <w:w w:val="100"/>
      <w:kern w:val="2"/>
      <w:position w:val="-1"/>
      <w:sz w:val="22"/>
      <w:szCs w:val="22"/>
      <w:effect w:val="none"/>
      <w:vertAlign w:val="baseline"/>
      <w:cs w:val="0"/>
      <w:em w:val="none"/>
      <w:lang w:eastAsia="en-US"/>
    </w:rPr>
  </w:style>
  <w:style w:type="character" w:styleId="TextoindependienteCar" w:customStyle="1">
    <w:name w:val="Texto independiente Car"/>
    <w:rPr>
      <w:rFonts w:ascii="Calibri" w:eastAsia="Calibri" w:hAnsi="Calibri"/>
      <w:w w:val="100"/>
      <w:kern w:val="2"/>
      <w:position w:val="-1"/>
      <w:sz w:val="22"/>
      <w:szCs w:val="22"/>
      <w:effect w:val="none"/>
      <w:vertAlign w:val="baseline"/>
      <w:cs w:val="0"/>
      <w:em w:val="none"/>
      <w:lang w:eastAsia="en-US"/>
    </w:rPr>
  </w:style>
  <w:style w:type="character" w:styleId="Ttulo1Car" w:customStyle="1">
    <w:name w:val="Título 1 Car"/>
    <w:rPr>
      <w:rFonts w:ascii="Geometr706 BlkCn BT" w:cs="Liberation Serif" w:eastAsia="Calibri" w:hAnsi="Geometr706 BlkCn BT"/>
      <w:bCs w:val="1"/>
      <w:color w:val="215868"/>
      <w:w w:val="100"/>
      <w:kern w:val="2"/>
      <w:position w:val="-1"/>
      <w:sz w:val="32"/>
      <w:szCs w:val="32"/>
      <w:effect w:val="none"/>
      <w:vertAlign w:val="baseline"/>
      <w:cs w:val="0"/>
      <w:em w:val="none"/>
      <w:lang w:eastAsia="en-US"/>
    </w:rPr>
  </w:style>
  <w:style w:type="character" w:styleId="nfasis">
    <w:name w:val="Emphasis"/>
    <w:rPr>
      <w:rFonts w:ascii="Geometr706 BlkCn BT" w:hAnsi="Geometr706 BlkCn BT"/>
      <w:color w:val="215868"/>
      <w:w w:val="100"/>
      <w:position w:val="-1"/>
      <w:effect w:val="none"/>
      <w:vertAlign w:val="baseline"/>
      <w:cs w:val="0"/>
      <w:em w:val="none"/>
    </w:rPr>
  </w:style>
  <w:style w:type="paragraph" w:styleId="Numeros" w:customStyle="1">
    <w:name w:val="Numeros"/>
    <w:basedOn w:val="Normal"/>
    <w:pPr>
      <w:ind w:left="284" w:hanging="284"/>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ipervnculo">
    <w:name w:val="Hyperlink"/>
    <w:basedOn w:val="Fuentedeprrafopredeter"/>
    <w:uiPriority w:val="99"/>
    <w:unhideWhenUsed w:val="1"/>
    <w:rsid w:val="009247B8"/>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eur-lex.europa.eu/legal-content/ES/TXT/HTML/?uri=CELEX:52020DC0380&amp;from=EN" TargetMode="External"/><Relationship Id="rId22" Type="http://schemas.openxmlformats.org/officeDocument/2006/relationships/hyperlink" Target="http://www.economiasolidaria.org/carta_soberania_alimentaria" TargetMode="External"/><Relationship Id="rId21" Type="http://schemas.openxmlformats.org/officeDocument/2006/relationships/hyperlink" Target="http://www.economiasolidaria.org/carta_soberania_alimentaria" TargetMode="External"/><Relationship Id="rId24" Type="http://schemas.openxmlformats.org/officeDocument/2006/relationships/hyperlink" Target="https://intervegas.org/pacto/" TargetMode="External"/><Relationship Id="rId23" Type="http://schemas.openxmlformats.org/officeDocument/2006/relationships/hyperlink" Target="https://intervegas.org/pac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habitat3.org/the-new-urban-agenda/" TargetMode="External"/><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hyperlink" Target="http://habitat.aq.upm.es/indloc/aindloc_17.html" TargetMode="External"/><Relationship Id="rId30" Type="http://schemas.openxmlformats.org/officeDocument/2006/relationships/footer" Target="footer1.xml"/><Relationship Id="rId11" Type="http://schemas.openxmlformats.org/officeDocument/2006/relationships/hyperlink" Target="http://eur-lex.europa.eu/legal-content/ES/TXT/?uri=CELEX%3A52004IE1209" TargetMode="External"/><Relationship Id="rId10" Type="http://schemas.openxmlformats.org/officeDocument/2006/relationships/hyperlink" Target="https://habitat3.org/the-new-urban-agenda/" TargetMode="External"/><Relationship Id="rId13" Type="http://schemas.openxmlformats.org/officeDocument/2006/relationships/hyperlink" Target="https://www.undp.org/es/sustainable-development-goals" TargetMode="External"/><Relationship Id="rId12" Type="http://schemas.openxmlformats.org/officeDocument/2006/relationships/hyperlink" Target="http://llaurantbarcelona.info/carta-lagricultura-periurbana/" TargetMode="External"/><Relationship Id="rId15" Type="http://schemas.openxmlformats.org/officeDocument/2006/relationships/hyperlink" Target="https://www.fao.org/3/y7937s/Y7937S.pdf" TargetMode="External"/><Relationship Id="rId14" Type="http://schemas.openxmlformats.org/officeDocument/2006/relationships/hyperlink" Target="http://www.foodpolicymilano.org/wp-content/uploads/2015/10/Milan-Urban-Food-Policy-Pact-_SPA.pdf" TargetMode="External"/><Relationship Id="rId17" Type="http://schemas.openxmlformats.org/officeDocument/2006/relationships/hyperlink" Target="https://www.fao.org/3/ca5499es/CA5499ES.pdf" TargetMode="External"/><Relationship Id="rId16" Type="http://schemas.openxmlformats.org/officeDocument/2006/relationships/hyperlink" Target="https://www.fao.org/3/ca5499es/CA5499ES.pdf" TargetMode="External"/><Relationship Id="rId19" Type="http://schemas.openxmlformats.org/officeDocument/2006/relationships/hyperlink" Target="https://eur-lex.europa.eu/legal-content/ES/TXT/HTML/?uri=CELEX:52020DC0380&amp;from=EN" TargetMode="External"/><Relationship Id="rId18" Type="http://schemas.openxmlformats.org/officeDocument/2006/relationships/hyperlink" Target="https://eur-lex.europa.eu/legal-content/ES/TXT/?uri=CELEX:52020DC0381"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BarlowBlack-boldItalic.ttf"/><Relationship Id="rId11" Type="http://schemas.openxmlformats.org/officeDocument/2006/relationships/font" Target="fonts/Barlow-regular.ttf"/><Relationship Id="rId10" Type="http://schemas.openxmlformats.org/officeDocument/2006/relationships/font" Target="fonts/NotoSans-boldItalic.ttf"/><Relationship Id="rId13" Type="http://schemas.openxmlformats.org/officeDocument/2006/relationships/font" Target="fonts/Barlow-italic.ttf"/><Relationship Id="rId12" Type="http://schemas.openxmlformats.org/officeDocument/2006/relationships/font" Target="fonts/Barlow-bold.ttf"/><Relationship Id="rId1" Type="http://schemas.openxmlformats.org/officeDocument/2006/relationships/font" Target="fonts/Geo-regular.ttf"/><Relationship Id="rId2" Type="http://schemas.openxmlformats.org/officeDocument/2006/relationships/font" Target="fonts/Geo-italic.ttf"/><Relationship Id="rId3" Type="http://schemas.openxmlformats.org/officeDocument/2006/relationships/font" Target="fonts/SourceSansProLight-regular.ttf"/><Relationship Id="rId4" Type="http://schemas.openxmlformats.org/officeDocument/2006/relationships/font" Target="fonts/SourceSansProLight-bold.ttf"/><Relationship Id="rId9" Type="http://schemas.openxmlformats.org/officeDocument/2006/relationships/font" Target="fonts/NotoSans-italic.ttf"/><Relationship Id="rId15" Type="http://schemas.openxmlformats.org/officeDocument/2006/relationships/font" Target="fonts/BarlowLight-regular.ttf"/><Relationship Id="rId14" Type="http://schemas.openxmlformats.org/officeDocument/2006/relationships/font" Target="fonts/Barlow-boldItalic.ttf"/><Relationship Id="rId17" Type="http://schemas.openxmlformats.org/officeDocument/2006/relationships/font" Target="fonts/BarlowLight-italic.ttf"/><Relationship Id="rId16" Type="http://schemas.openxmlformats.org/officeDocument/2006/relationships/font" Target="fonts/BarlowLight-bold.ttf"/><Relationship Id="rId5" Type="http://schemas.openxmlformats.org/officeDocument/2006/relationships/font" Target="fonts/SourceSansProLight-italic.ttf"/><Relationship Id="rId19" Type="http://schemas.openxmlformats.org/officeDocument/2006/relationships/font" Target="fonts/BarlowBlack-bold.ttf"/><Relationship Id="rId6" Type="http://schemas.openxmlformats.org/officeDocument/2006/relationships/font" Target="fonts/SourceSansProLight-boldItalic.ttf"/><Relationship Id="rId18" Type="http://schemas.openxmlformats.org/officeDocument/2006/relationships/font" Target="fonts/BarlowLight-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footnotes.xml.rels><?xml version="1.0" encoding="UTF-8" standalone="yes"?><Relationships xmlns="http://schemas.openxmlformats.org/package/2006/relationships"><Relationship Id="rId1" Type="http://schemas.openxmlformats.org/officeDocument/2006/relationships/hyperlink" Target="http://www.fao.org/food-loss-and-food-waste/es/" TargetMode="External"/><Relationship Id="rId2" Type="http://schemas.openxmlformats.org/officeDocument/2006/relationships/hyperlink" Target="https://www.consumo.gob.es/es/system/tdf/prensa/Informe_de_Sostenibilidad_del_consumo_en_Espan%CC%83a_EU_MinCon.pdf?file=1&amp;type=node&amp;id=1126&amp;fo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ZlI9SzvBqHNrRd+KxS3aUGXHjQ==">AMUW2mWXpFIMofy4HC6F2YPiN5Af0n8UqWrpgRX/T1SNOe8xEKemz2S/f9yTqG7Q5gkUkcYBUSq+5JcWRl0/KVHqEQCL8T100MqqrcsIHMBAGYV22+klug9JrLD5cjXlSq1l1UaY1Lib/wfyLH+LlVyi27VGMEqks0zXTD6HtrN+/xbWquKtUP6ktl8dGeeREY4jlR2ofF7QJfIzdVetUEh3ow2mbrfIoQ2qfUuNBpEWuLJEO9fSZiI=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2019-09-18T09:20:00Z</dcterms:created>
  <dc:creator>Centor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http://www.centor.mx.gd</vt:lpwstr>
  </property>
  <property fmtid="{D5CDD505-2E9C-101B-9397-08002B2CF9AE}" pid="3" name="Operator">
    <vt:lpwstr>Joseba Otondo Bikondoa</vt:lpwstr>
  </property>
</Properties>
</file>